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39C8A" w14:textId="5FC497BE" w:rsidR="0060437D" w:rsidRPr="00A97A3A" w:rsidRDefault="0060437D" w:rsidP="00212A5B">
      <w:pPr>
        <w:pBdr>
          <w:top w:val="nil"/>
          <w:left w:val="nil"/>
          <w:bottom w:val="nil"/>
          <w:right w:val="nil"/>
          <w:between w:val="nil"/>
        </w:pBdr>
        <w:spacing w:after="0" w:line="240" w:lineRule="auto"/>
        <w:jc w:val="right"/>
        <w:rPr>
          <w:rFonts w:ascii="Arial" w:eastAsia="Arial" w:hAnsi="Arial" w:cs="Arial"/>
          <w:color w:val="000000" w:themeColor="text1"/>
          <w:sz w:val="24"/>
          <w:szCs w:val="24"/>
        </w:rPr>
      </w:pPr>
      <w:r w:rsidRPr="00A97A3A">
        <w:rPr>
          <w:rFonts w:ascii="Arial" w:eastAsia="Arial" w:hAnsi="Arial" w:cs="Arial"/>
          <w:color w:val="000000" w:themeColor="text1"/>
          <w:sz w:val="24"/>
          <w:szCs w:val="24"/>
        </w:rPr>
        <w:t xml:space="preserve">Bogotá, D.C., </w:t>
      </w:r>
      <w:r w:rsidR="00592D9E">
        <w:rPr>
          <w:rFonts w:ascii="Arial" w:eastAsia="Arial" w:hAnsi="Arial" w:cs="Arial"/>
          <w:color w:val="000000" w:themeColor="text1"/>
          <w:sz w:val="24"/>
          <w:szCs w:val="24"/>
        </w:rPr>
        <w:t>2</w:t>
      </w:r>
      <w:r w:rsidR="00871980">
        <w:rPr>
          <w:rFonts w:ascii="Arial" w:eastAsia="Arial" w:hAnsi="Arial" w:cs="Arial"/>
          <w:color w:val="000000" w:themeColor="text1"/>
          <w:sz w:val="24"/>
          <w:szCs w:val="24"/>
        </w:rPr>
        <w:t>8</w:t>
      </w:r>
      <w:r w:rsidR="00EF4076">
        <w:rPr>
          <w:rFonts w:ascii="Arial" w:eastAsia="Arial" w:hAnsi="Arial" w:cs="Arial"/>
          <w:color w:val="000000" w:themeColor="text1"/>
          <w:sz w:val="24"/>
          <w:szCs w:val="24"/>
        </w:rPr>
        <w:t xml:space="preserve"> de julio de 2021</w:t>
      </w:r>
    </w:p>
    <w:p w14:paraId="74F2A217"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p>
    <w:p w14:paraId="1B4144FE"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Honorable Representante</w:t>
      </w:r>
    </w:p>
    <w:p w14:paraId="320088D6" w14:textId="7555BC76" w:rsidR="0060437D" w:rsidRPr="00A97A3A" w:rsidRDefault="007F0B9C" w:rsidP="0060437D">
      <w:pPr>
        <w:pBdr>
          <w:top w:val="nil"/>
          <w:left w:val="nil"/>
          <w:bottom w:val="nil"/>
          <w:right w:val="nil"/>
          <w:between w:val="nil"/>
        </w:pBdr>
        <w:spacing w:after="0" w:line="240" w:lineRule="auto"/>
        <w:rPr>
          <w:rFonts w:ascii="Arial" w:eastAsia="Arial" w:hAnsi="Arial" w:cs="Arial"/>
          <w:b/>
          <w:color w:val="000000" w:themeColor="text1"/>
          <w:sz w:val="24"/>
          <w:szCs w:val="24"/>
        </w:rPr>
      </w:pPr>
      <w:r>
        <w:rPr>
          <w:rFonts w:ascii="Arial" w:eastAsia="Arial" w:hAnsi="Arial" w:cs="Arial"/>
          <w:b/>
          <w:color w:val="000000" w:themeColor="text1"/>
          <w:sz w:val="24"/>
          <w:szCs w:val="24"/>
        </w:rPr>
        <w:t>JAIRO HUMBERTO CRISTO CORREA</w:t>
      </w:r>
    </w:p>
    <w:p w14:paraId="598E34EF"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 xml:space="preserve">Presidente Comisión VII </w:t>
      </w:r>
    </w:p>
    <w:p w14:paraId="3F91A1B2"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Cámara de Representantes</w:t>
      </w:r>
    </w:p>
    <w:p w14:paraId="50F50095"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E.</w:t>
      </w:r>
      <w:r w:rsidRPr="00A97A3A">
        <w:rPr>
          <w:rFonts w:ascii="Arial" w:eastAsia="Arial" w:hAnsi="Arial" w:cs="Arial"/>
          <w:color w:val="000000" w:themeColor="text1"/>
          <w:sz w:val="24"/>
          <w:szCs w:val="24"/>
        </w:rPr>
        <w:tab/>
        <w:t>S.</w:t>
      </w:r>
      <w:r w:rsidRPr="00A97A3A">
        <w:rPr>
          <w:rFonts w:ascii="Arial" w:eastAsia="Arial" w:hAnsi="Arial" w:cs="Arial"/>
          <w:color w:val="000000" w:themeColor="text1"/>
          <w:sz w:val="24"/>
          <w:szCs w:val="24"/>
        </w:rPr>
        <w:tab/>
        <w:t>D.</w:t>
      </w:r>
    </w:p>
    <w:p w14:paraId="1F4F686D"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p>
    <w:p w14:paraId="4465DD36" w14:textId="2A0AB9FF" w:rsidR="0060437D" w:rsidRPr="00A97A3A" w:rsidRDefault="0060437D" w:rsidP="000B7909">
      <w:pPr>
        <w:shd w:val="clear" w:color="auto" w:fill="FFFFFF"/>
        <w:spacing w:after="0" w:line="240" w:lineRule="auto"/>
        <w:rPr>
          <w:rFonts w:ascii="Arial" w:eastAsia="Arial" w:hAnsi="Arial" w:cs="Arial"/>
          <w:color w:val="000000" w:themeColor="text1"/>
          <w:sz w:val="24"/>
          <w:szCs w:val="24"/>
        </w:rPr>
      </w:pPr>
      <w:r w:rsidRPr="00A97A3A">
        <w:rPr>
          <w:rFonts w:ascii="Arial" w:eastAsia="Arial" w:hAnsi="Arial" w:cs="Arial"/>
          <w:b/>
          <w:color w:val="000000" w:themeColor="text1"/>
          <w:sz w:val="24"/>
          <w:szCs w:val="24"/>
        </w:rPr>
        <w:t>Asunto:</w:t>
      </w:r>
      <w:r w:rsidRPr="00A97A3A">
        <w:rPr>
          <w:rFonts w:ascii="Arial" w:eastAsia="Arial" w:hAnsi="Arial" w:cs="Arial"/>
          <w:color w:val="000000" w:themeColor="text1"/>
          <w:sz w:val="24"/>
          <w:szCs w:val="24"/>
        </w:rPr>
        <w:t xml:space="preserve"> </w:t>
      </w:r>
      <w:r w:rsidRPr="00A97A3A">
        <w:rPr>
          <w:rFonts w:ascii="Arial" w:eastAsia="Arial" w:hAnsi="Arial" w:cs="Arial"/>
          <w:b/>
          <w:color w:val="000000" w:themeColor="text1"/>
          <w:sz w:val="24"/>
          <w:szCs w:val="24"/>
        </w:rPr>
        <w:t xml:space="preserve">INFORME DE PONENCIA PARA </w:t>
      </w:r>
      <w:r w:rsidR="00E21DDE">
        <w:rPr>
          <w:rFonts w:ascii="Arial" w:eastAsia="Arial" w:hAnsi="Arial" w:cs="Arial"/>
          <w:b/>
          <w:color w:val="000000" w:themeColor="text1"/>
          <w:sz w:val="24"/>
          <w:szCs w:val="24"/>
        </w:rPr>
        <w:t xml:space="preserve">SEGUNDO </w:t>
      </w:r>
      <w:r w:rsidRPr="00A97A3A">
        <w:rPr>
          <w:rFonts w:ascii="Arial" w:eastAsia="Arial" w:hAnsi="Arial" w:cs="Arial"/>
          <w:b/>
          <w:color w:val="000000" w:themeColor="text1"/>
          <w:sz w:val="24"/>
          <w:szCs w:val="24"/>
        </w:rPr>
        <w:t xml:space="preserve">DEBATE AL PROYECTO DE </w:t>
      </w:r>
      <w:r w:rsidRPr="000B7909">
        <w:rPr>
          <w:rFonts w:ascii="Arial" w:eastAsia="Arial" w:hAnsi="Arial" w:cs="Arial"/>
          <w:b/>
          <w:color w:val="000000" w:themeColor="text1"/>
          <w:sz w:val="24"/>
          <w:szCs w:val="24"/>
        </w:rPr>
        <w:t xml:space="preserve">LEY No. </w:t>
      </w:r>
      <w:r w:rsidR="000B7909" w:rsidRPr="000B7909">
        <w:rPr>
          <w:rFonts w:ascii="Arial" w:eastAsia="Calibri" w:hAnsi="Arial" w:cs="Arial"/>
          <w:b/>
          <w:color w:val="000000" w:themeColor="text1"/>
          <w:sz w:val="24"/>
          <w:szCs w:val="24"/>
          <w:lang w:eastAsia="es-ES_tradnl"/>
        </w:rPr>
        <w:t xml:space="preserve">258 DE 2020 CÁMARA </w:t>
      </w:r>
      <w:r w:rsidR="000B7909" w:rsidRPr="000B7909">
        <w:rPr>
          <w:rFonts w:ascii="Arial" w:eastAsia="Calibri" w:hAnsi="Arial" w:cs="Arial"/>
          <w:color w:val="000000" w:themeColor="text1"/>
          <w:sz w:val="24"/>
          <w:szCs w:val="24"/>
          <w:lang w:eastAsia="es-ES_tradnl"/>
        </w:rPr>
        <w:t xml:space="preserve">“Por medio de la cual se modifica la Ley 1384 de 2010, se adopta el enfoque de alta carga de la enfermedad para la atención de pacientes con cáncer y se dictan otras disposiciones” </w:t>
      </w:r>
    </w:p>
    <w:p w14:paraId="59DCBE14"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p>
    <w:p w14:paraId="0474E9D3" w14:textId="49429AFE"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Respetad</w:t>
      </w:r>
      <w:r w:rsidR="009011F9">
        <w:rPr>
          <w:rFonts w:ascii="Arial" w:eastAsia="Arial" w:hAnsi="Arial" w:cs="Arial"/>
          <w:color w:val="000000" w:themeColor="text1"/>
          <w:sz w:val="24"/>
          <w:szCs w:val="24"/>
        </w:rPr>
        <w:t>o</w:t>
      </w:r>
      <w:r w:rsidRPr="00A97A3A">
        <w:rPr>
          <w:rFonts w:ascii="Arial" w:eastAsia="Arial" w:hAnsi="Arial" w:cs="Arial"/>
          <w:color w:val="000000" w:themeColor="text1"/>
          <w:sz w:val="24"/>
          <w:szCs w:val="24"/>
        </w:rPr>
        <w:t xml:space="preserve"> Señor Presidente:</w:t>
      </w:r>
    </w:p>
    <w:p w14:paraId="143AEDFD"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p>
    <w:p w14:paraId="33C8CE70" w14:textId="5DC205BA"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 xml:space="preserve">En cumplimiento del encargo hecho por la honorable Mesa Directiva de la Comisión Séptima Constitucional de la Cámara de Representantes y de conformidad con lo establecido en el Artículo 156 de la ley 5ª de 1992, procedemos a rendir </w:t>
      </w:r>
      <w:r w:rsidRPr="00A97A3A">
        <w:rPr>
          <w:rFonts w:ascii="Arial" w:eastAsia="Arial" w:hAnsi="Arial" w:cs="Arial"/>
          <w:b/>
          <w:color w:val="000000" w:themeColor="text1"/>
          <w:sz w:val="24"/>
          <w:szCs w:val="24"/>
        </w:rPr>
        <w:t xml:space="preserve">INFORME DE PONENCIA PARA </w:t>
      </w:r>
      <w:r w:rsidR="00D54101">
        <w:rPr>
          <w:rFonts w:ascii="Arial" w:eastAsia="Arial" w:hAnsi="Arial" w:cs="Arial"/>
          <w:b/>
          <w:color w:val="000000" w:themeColor="text1"/>
          <w:sz w:val="24"/>
          <w:szCs w:val="24"/>
        </w:rPr>
        <w:t xml:space="preserve">SEGUNDO </w:t>
      </w:r>
      <w:r w:rsidRPr="00A97A3A">
        <w:rPr>
          <w:rFonts w:ascii="Arial" w:eastAsia="Arial" w:hAnsi="Arial" w:cs="Arial"/>
          <w:b/>
          <w:color w:val="000000" w:themeColor="text1"/>
          <w:sz w:val="24"/>
          <w:szCs w:val="24"/>
        </w:rPr>
        <w:t>DEBATE AL</w:t>
      </w:r>
      <w:r w:rsidRPr="00A97A3A">
        <w:rPr>
          <w:rFonts w:ascii="Arial" w:eastAsia="Arial" w:hAnsi="Arial" w:cs="Arial"/>
          <w:color w:val="000000" w:themeColor="text1"/>
          <w:sz w:val="24"/>
          <w:szCs w:val="24"/>
        </w:rPr>
        <w:t xml:space="preserve"> </w:t>
      </w:r>
      <w:r w:rsidRPr="00A97A3A">
        <w:rPr>
          <w:rFonts w:ascii="Arial" w:eastAsia="Arial" w:hAnsi="Arial" w:cs="Arial"/>
          <w:b/>
          <w:color w:val="000000" w:themeColor="text1"/>
          <w:sz w:val="24"/>
          <w:szCs w:val="24"/>
        </w:rPr>
        <w:t xml:space="preserve">PROYECTO DE LEY No. </w:t>
      </w:r>
      <w:r w:rsidR="00702EFF" w:rsidRPr="000B7909">
        <w:rPr>
          <w:rFonts w:ascii="Arial" w:eastAsia="Calibri" w:hAnsi="Arial" w:cs="Arial"/>
          <w:b/>
          <w:color w:val="000000" w:themeColor="text1"/>
          <w:sz w:val="24"/>
          <w:szCs w:val="24"/>
          <w:lang w:eastAsia="es-ES_tradnl"/>
        </w:rPr>
        <w:t xml:space="preserve">258 DE 2020 CÁMARA </w:t>
      </w:r>
      <w:r w:rsidR="00702EFF" w:rsidRPr="000B7909">
        <w:rPr>
          <w:rFonts w:ascii="Arial" w:eastAsia="Calibri" w:hAnsi="Arial" w:cs="Arial"/>
          <w:color w:val="000000" w:themeColor="text1"/>
          <w:sz w:val="24"/>
          <w:szCs w:val="24"/>
          <w:lang w:eastAsia="es-ES_tradnl"/>
        </w:rPr>
        <w:t>“Por medio de la cual se modifica la Ley 1384 de 2010, se adopta el enfoque de alta carga de la enfermedad para la atención de pacientes con cáncer y se dictan otras disposiciones”</w:t>
      </w:r>
      <w:r w:rsidRPr="00A97A3A">
        <w:rPr>
          <w:rFonts w:ascii="Arial" w:eastAsia="Arial" w:hAnsi="Arial" w:cs="Arial"/>
          <w:color w:val="000000" w:themeColor="text1"/>
          <w:sz w:val="24"/>
          <w:szCs w:val="24"/>
        </w:rPr>
        <w:t>, en los siguientes términos:</w:t>
      </w:r>
    </w:p>
    <w:p w14:paraId="39A47C20"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highlight w:val="yellow"/>
        </w:rPr>
        <w:t xml:space="preserve"> </w:t>
      </w:r>
    </w:p>
    <w:p w14:paraId="763A9E81"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 xml:space="preserve">La presente ponencia se desarrollará de la siguiente manera: </w:t>
      </w:r>
    </w:p>
    <w:p w14:paraId="41DFB49F" w14:textId="77777777" w:rsidR="0060437D" w:rsidRPr="00A97A3A" w:rsidRDefault="0060437D" w:rsidP="0060437D">
      <w:pPr>
        <w:numPr>
          <w:ilvl w:val="0"/>
          <w:numId w:val="5"/>
        </w:num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Antecedentes de la iniciativa</w:t>
      </w:r>
    </w:p>
    <w:p w14:paraId="2E60DEF9" w14:textId="59E25279" w:rsidR="00A458EB" w:rsidRDefault="00A458EB" w:rsidP="0060437D">
      <w:pPr>
        <w:numPr>
          <w:ilvl w:val="0"/>
          <w:numId w:val="5"/>
        </w:numPr>
        <w:pBdr>
          <w:top w:val="nil"/>
          <w:left w:val="nil"/>
          <w:bottom w:val="nil"/>
          <w:right w:val="nil"/>
          <w:between w:val="nil"/>
        </w:pBdr>
        <w:spacing w:after="0" w:line="240" w:lineRule="auto"/>
        <w:rPr>
          <w:rFonts w:ascii="Arial" w:eastAsia="Arial" w:hAnsi="Arial" w:cs="Arial"/>
          <w:color w:val="000000" w:themeColor="text1"/>
          <w:sz w:val="24"/>
          <w:szCs w:val="24"/>
        </w:rPr>
      </w:pPr>
      <w:r>
        <w:rPr>
          <w:rFonts w:ascii="Arial" w:eastAsia="Arial" w:hAnsi="Arial" w:cs="Arial"/>
          <w:color w:val="000000" w:themeColor="text1"/>
          <w:sz w:val="24"/>
          <w:szCs w:val="24"/>
        </w:rPr>
        <w:t>Objeto del proyecto</w:t>
      </w:r>
    </w:p>
    <w:p w14:paraId="3E21180C" w14:textId="2172061A" w:rsidR="0060437D" w:rsidRPr="00A97A3A" w:rsidRDefault="0060437D" w:rsidP="0060437D">
      <w:pPr>
        <w:numPr>
          <w:ilvl w:val="0"/>
          <w:numId w:val="5"/>
        </w:num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Marco Jurídico</w:t>
      </w:r>
    </w:p>
    <w:p w14:paraId="16A4477F" w14:textId="7A8D1072" w:rsidR="0060437D" w:rsidRDefault="0060437D" w:rsidP="0060437D">
      <w:pPr>
        <w:numPr>
          <w:ilvl w:val="0"/>
          <w:numId w:val="5"/>
        </w:num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Alcance y contenido del proyecto</w:t>
      </w:r>
    </w:p>
    <w:p w14:paraId="3823D50C" w14:textId="77777777" w:rsidR="0060437D" w:rsidRPr="00A97A3A" w:rsidRDefault="0060437D" w:rsidP="0060437D">
      <w:pPr>
        <w:numPr>
          <w:ilvl w:val="0"/>
          <w:numId w:val="5"/>
        </w:num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 xml:space="preserve">Proposición </w:t>
      </w:r>
    </w:p>
    <w:p w14:paraId="3366823F" w14:textId="70478D97" w:rsidR="00965398" w:rsidRDefault="00965398" w:rsidP="0060437D">
      <w:pPr>
        <w:pBdr>
          <w:top w:val="nil"/>
          <w:left w:val="nil"/>
          <w:bottom w:val="nil"/>
          <w:right w:val="nil"/>
          <w:between w:val="nil"/>
        </w:pBdr>
        <w:spacing w:after="0" w:line="240" w:lineRule="auto"/>
        <w:rPr>
          <w:rFonts w:ascii="Arial" w:eastAsia="Arial" w:hAnsi="Arial" w:cs="Arial"/>
          <w:color w:val="000000" w:themeColor="text1"/>
          <w:sz w:val="24"/>
          <w:szCs w:val="24"/>
        </w:rPr>
      </w:pPr>
    </w:p>
    <w:p w14:paraId="51556D91" w14:textId="77777777" w:rsidR="0060437D" w:rsidRPr="00A97A3A" w:rsidRDefault="0060437D" w:rsidP="0060437D">
      <w:pPr>
        <w:numPr>
          <w:ilvl w:val="0"/>
          <w:numId w:val="6"/>
        </w:numPr>
        <w:pBdr>
          <w:top w:val="nil"/>
          <w:left w:val="nil"/>
          <w:bottom w:val="nil"/>
          <w:right w:val="nil"/>
          <w:between w:val="nil"/>
        </w:pBdr>
        <w:spacing w:after="0" w:line="240" w:lineRule="auto"/>
        <w:jc w:val="left"/>
        <w:rPr>
          <w:rFonts w:ascii="Arial" w:eastAsia="Arial" w:hAnsi="Arial" w:cs="Arial"/>
          <w:b/>
          <w:color w:val="000000" w:themeColor="text1"/>
          <w:sz w:val="24"/>
          <w:szCs w:val="24"/>
        </w:rPr>
      </w:pPr>
      <w:r w:rsidRPr="00A97A3A">
        <w:rPr>
          <w:rFonts w:ascii="Arial" w:eastAsia="Arial" w:hAnsi="Arial" w:cs="Arial"/>
          <w:b/>
          <w:color w:val="000000" w:themeColor="text1"/>
          <w:sz w:val="24"/>
          <w:szCs w:val="24"/>
        </w:rPr>
        <w:t xml:space="preserve">ANTECEDENTES DE LA INICIATIVA </w:t>
      </w:r>
    </w:p>
    <w:p w14:paraId="55593C6D" w14:textId="77777777" w:rsidR="0060437D" w:rsidRPr="00A97A3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p>
    <w:p w14:paraId="5E700A8F" w14:textId="0F1CFAB6" w:rsidR="0085284A"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 xml:space="preserve">El proyecto de ley es de iniciativa </w:t>
      </w:r>
      <w:r w:rsidR="00A344F3">
        <w:rPr>
          <w:rFonts w:ascii="Arial" w:eastAsia="Arial" w:hAnsi="Arial" w:cs="Arial"/>
          <w:color w:val="000000" w:themeColor="text1"/>
          <w:sz w:val="24"/>
          <w:szCs w:val="24"/>
        </w:rPr>
        <w:t xml:space="preserve">de </w:t>
      </w:r>
      <w:r w:rsidR="00A344F3" w:rsidRPr="00254F1F">
        <w:rPr>
          <w:rFonts w:ascii="Arial" w:eastAsia="Times New Roman" w:hAnsi="Arial" w:cs="Arial"/>
          <w:color w:val="000000"/>
          <w:sz w:val="24"/>
          <w:szCs w:val="24"/>
        </w:rPr>
        <w:t>lo</w:t>
      </w:r>
      <w:r w:rsidR="00A344F3">
        <w:rPr>
          <w:rFonts w:ascii="Arial" w:eastAsia="Times New Roman" w:hAnsi="Arial" w:cs="Arial"/>
          <w:color w:val="000000"/>
          <w:sz w:val="24"/>
          <w:szCs w:val="24"/>
        </w:rPr>
        <w:t>s</w:t>
      </w:r>
      <w:r w:rsidR="00A344F3" w:rsidRPr="00254F1F">
        <w:rPr>
          <w:rFonts w:ascii="Arial" w:eastAsia="Times New Roman" w:hAnsi="Arial" w:cs="Arial"/>
          <w:color w:val="000000"/>
          <w:sz w:val="24"/>
          <w:szCs w:val="24"/>
        </w:rPr>
        <w:t xml:space="preserve"> Honorables Representantes: Juan Carlos Reinales, Henry Fernando Correal, Juan Diego </w:t>
      </w:r>
      <w:r w:rsidR="00A344F3" w:rsidRPr="00903993">
        <w:rPr>
          <w:rFonts w:ascii="Arial" w:eastAsia="Times New Roman" w:hAnsi="Arial" w:cs="Arial"/>
          <w:color w:val="000000"/>
          <w:sz w:val="24"/>
          <w:szCs w:val="24"/>
        </w:rPr>
        <w:t>Echavarría</w:t>
      </w:r>
      <w:r w:rsidR="00A344F3" w:rsidRPr="00254F1F">
        <w:rPr>
          <w:rFonts w:ascii="Arial" w:eastAsia="Times New Roman" w:hAnsi="Arial" w:cs="Arial"/>
          <w:color w:val="000000"/>
          <w:sz w:val="24"/>
          <w:szCs w:val="24"/>
        </w:rPr>
        <w:t xml:space="preserve">, Kelyn González, Flora Perdomo, Faber Muñoz, Jhon Arley Murillo, Carlos Eduardo Acosta, Omar de </w:t>
      </w:r>
      <w:r w:rsidR="00A344F3" w:rsidRPr="00903993">
        <w:rPr>
          <w:rFonts w:ascii="Arial" w:eastAsia="Times New Roman" w:hAnsi="Arial" w:cs="Arial"/>
          <w:color w:val="000000"/>
          <w:sz w:val="24"/>
          <w:szCs w:val="24"/>
        </w:rPr>
        <w:t>Jesús</w:t>
      </w:r>
      <w:r w:rsidR="00A344F3" w:rsidRPr="00254F1F">
        <w:rPr>
          <w:rFonts w:ascii="Arial" w:eastAsia="Times New Roman" w:hAnsi="Arial" w:cs="Arial"/>
          <w:color w:val="000000"/>
          <w:sz w:val="24"/>
          <w:szCs w:val="24"/>
        </w:rPr>
        <w:t xml:space="preserve"> Restrepo, </w:t>
      </w:r>
      <w:r w:rsidR="00A344F3" w:rsidRPr="00903993">
        <w:rPr>
          <w:rFonts w:ascii="Arial" w:eastAsia="Times New Roman" w:hAnsi="Arial" w:cs="Arial"/>
          <w:color w:val="000000"/>
          <w:sz w:val="24"/>
          <w:szCs w:val="24"/>
        </w:rPr>
        <w:t>Ángela</w:t>
      </w:r>
      <w:r w:rsidR="00A344F3" w:rsidRPr="00254F1F">
        <w:rPr>
          <w:rFonts w:ascii="Arial" w:eastAsia="Times New Roman" w:hAnsi="Arial" w:cs="Arial"/>
          <w:color w:val="000000"/>
          <w:sz w:val="24"/>
          <w:szCs w:val="24"/>
        </w:rPr>
        <w:t xml:space="preserve"> Patricia Sánchez, </w:t>
      </w:r>
      <w:r w:rsidR="00A344F3" w:rsidRPr="00903993">
        <w:rPr>
          <w:rFonts w:ascii="Arial" w:eastAsia="Times New Roman" w:hAnsi="Arial" w:cs="Arial"/>
          <w:color w:val="000000"/>
          <w:sz w:val="24"/>
          <w:szCs w:val="24"/>
        </w:rPr>
        <w:t>Andrés</w:t>
      </w:r>
      <w:r w:rsidR="00A344F3" w:rsidRPr="00254F1F">
        <w:rPr>
          <w:rFonts w:ascii="Arial" w:eastAsia="Times New Roman" w:hAnsi="Arial" w:cs="Arial"/>
          <w:color w:val="000000"/>
          <w:sz w:val="24"/>
          <w:szCs w:val="24"/>
        </w:rPr>
        <w:t xml:space="preserve"> Calle, Harry González, Nubia López, Alejandro Vega, Rodrigo Rojas, </w:t>
      </w:r>
      <w:r w:rsidR="00A344F3" w:rsidRPr="00903993">
        <w:rPr>
          <w:rFonts w:ascii="Arial" w:eastAsia="Times New Roman" w:hAnsi="Arial" w:cs="Arial"/>
          <w:color w:val="000000"/>
          <w:sz w:val="24"/>
          <w:szCs w:val="24"/>
        </w:rPr>
        <w:t>Hernán</w:t>
      </w:r>
      <w:r w:rsidR="00A344F3" w:rsidRPr="00254F1F">
        <w:rPr>
          <w:rFonts w:ascii="Arial" w:eastAsia="Times New Roman" w:hAnsi="Arial" w:cs="Arial"/>
          <w:color w:val="000000"/>
          <w:sz w:val="24"/>
          <w:szCs w:val="24"/>
        </w:rPr>
        <w:t xml:space="preserve"> Estupiñan, </w:t>
      </w:r>
      <w:r w:rsidR="00A344F3" w:rsidRPr="00903993">
        <w:rPr>
          <w:rFonts w:ascii="Arial" w:eastAsia="Times New Roman" w:hAnsi="Arial" w:cs="Arial"/>
          <w:color w:val="000000"/>
          <w:sz w:val="24"/>
          <w:szCs w:val="24"/>
        </w:rPr>
        <w:t>Víctor</w:t>
      </w:r>
      <w:r w:rsidR="00A344F3" w:rsidRPr="00254F1F">
        <w:rPr>
          <w:rFonts w:ascii="Arial" w:eastAsia="Times New Roman" w:hAnsi="Arial" w:cs="Arial"/>
          <w:color w:val="000000"/>
          <w:sz w:val="24"/>
          <w:szCs w:val="24"/>
        </w:rPr>
        <w:t xml:space="preserve"> </w:t>
      </w:r>
      <w:r w:rsidR="00A344F3" w:rsidRPr="00903993">
        <w:rPr>
          <w:rFonts w:ascii="Arial" w:eastAsia="Times New Roman" w:hAnsi="Arial" w:cs="Arial"/>
          <w:color w:val="000000"/>
          <w:sz w:val="24"/>
          <w:szCs w:val="24"/>
        </w:rPr>
        <w:t>Ortiz</w:t>
      </w:r>
      <w:r w:rsidR="00A344F3" w:rsidRPr="00254F1F">
        <w:rPr>
          <w:rFonts w:ascii="Arial" w:eastAsia="Times New Roman" w:hAnsi="Arial" w:cs="Arial"/>
          <w:color w:val="000000"/>
          <w:sz w:val="24"/>
          <w:szCs w:val="24"/>
        </w:rPr>
        <w:t>, Carlos Julio Bonilla, Crisanto Pisso, Alejandro Chacón, Jhon Jairo Roldan, Elizabeth Jay-Pang y Silvio Carrasquilla</w:t>
      </w:r>
      <w:r w:rsidR="0085284A">
        <w:rPr>
          <w:rFonts w:ascii="Arial" w:eastAsia="Arial" w:hAnsi="Arial" w:cs="Arial"/>
          <w:color w:val="000000" w:themeColor="text1"/>
          <w:sz w:val="24"/>
          <w:szCs w:val="24"/>
        </w:rPr>
        <w:t>, el cual fue radicado el 2</w:t>
      </w:r>
      <w:r w:rsidR="00A344F3">
        <w:rPr>
          <w:rFonts w:ascii="Arial" w:eastAsia="Arial" w:hAnsi="Arial" w:cs="Arial"/>
          <w:color w:val="000000" w:themeColor="text1"/>
          <w:sz w:val="24"/>
          <w:szCs w:val="24"/>
        </w:rPr>
        <w:t>3</w:t>
      </w:r>
      <w:r w:rsidR="0085284A">
        <w:rPr>
          <w:rFonts w:ascii="Arial" w:eastAsia="Arial" w:hAnsi="Arial" w:cs="Arial"/>
          <w:color w:val="000000" w:themeColor="text1"/>
          <w:sz w:val="24"/>
          <w:szCs w:val="24"/>
        </w:rPr>
        <w:t xml:space="preserve"> de julio del año 2020</w:t>
      </w:r>
      <w:r w:rsidR="00832E1D">
        <w:rPr>
          <w:rFonts w:ascii="Arial" w:eastAsia="Arial" w:hAnsi="Arial" w:cs="Arial"/>
          <w:color w:val="000000" w:themeColor="text1"/>
          <w:sz w:val="24"/>
          <w:szCs w:val="24"/>
        </w:rPr>
        <w:t xml:space="preserve"> y le fue asignado el No. </w:t>
      </w:r>
      <w:r w:rsidR="00A344F3">
        <w:rPr>
          <w:rFonts w:ascii="Arial" w:eastAsia="Arial" w:hAnsi="Arial" w:cs="Arial"/>
          <w:color w:val="000000" w:themeColor="text1"/>
          <w:sz w:val="24"/>
          <w:szCs w:val="24"/>
        </w:rPr>
        <w:t xml:space="preserve">258 </w:t>
      </w:r>
      <w:r w:rsidR="00832E1D">
        <w:rPr>
          <w:rFonts w:ascii="Arial" w:eastAsia="Arial" w:hAnsi="Arial" w:cs="Arial"/>
          <w:color w:val="000000" w:themeColor="text1"/>
          <w:sz w:val="24"/>
          <w:szCs w:val="24"/>
        </w:rPr>
        <w:t>de 2020</w:t>
      </w:r>
      <w:r w:rsidR="00CD33B8">
        <w:rPr>
          <w:rFonts w:ascii="Arial" w:eastAsia="Arial" w:hAnsi="Arial" w:cs="Arial"/>
          <w:color w:val="000000" w:themeColor="text1"/>
          <w:sz w:val="24"/>
          <w:szCs w:val="24"/>
        </w:rPr>
        <w:t>.</w:t>
      </w:r>
    </w:p>
    <w:p w14:paraId="6511C78C" w14:textId="77777777" w:rsidR="0085284A" w:rsidRDefault="0085284A" w:rsidP="0060437D">
      <w:pPr>
        <w:pBdr>
          <w:top w:val="nil"/>
          <w:left w:val="nil"/>
          <w:bottom w:val="nil"/>
          <w:right w:val="nil"/>
          <w:between w:val="nil"/>
        </w:pBdr>
        <w:spacing w:after="0" w:line="240" w:lineRule="auto"/>
        <w:rPr>
          <w:rFonts w:ascii="Arial" w:eastAsia="Arial" w:hAnsi="Arial" w:cs="Arial"/>
          <w:color w:val="000000" w:themeColor="text1"/>
          <w:sz w:val="24"/>
          <w:szCs w:val="24"/>
        </w:rPr>
      </w:pPr>
    </w:p>
    <w:p w14:paraId="70989787" w14:textId="1DF6B817" w:rsidR="0060437D"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A97A3A">
        <w:rPr>
          <w:rFonts w:ascii="Arial" w:eastAsia="Arial" w:hAnsi="Arial" w:cs="Arial"/>
          <w:color w:val="000000" w:themeColor="text1"/>
          <w:sz w:val="24"/>
          <w:szCs w:val="24"/>
        </w:rPr>
        <w:t xml:space="preserve">Dicho proyecto fue remitido por competencia, a la comisión séptima constitucional, quien de conformidad con lo establecido en la ley 5 de 1992 designó como ponentes </w:t>
      </w:r>
      <w:r w:rsidRPr="00A97A3A">
        <w:rPr>
          <w:rFonts w:ascii="Arial" w:eastAsia="Arial" w:hAnsi="Arial" w:cs="Arial"/>
          <w:color w:val="000000" w:themeColor="text1"/>
          <w:sz w:val="24"/>
          <w:szCs w:val="24"/>
        </w:rPr>
        <w:lastRenderedPageBreak/>
        <w:t xml:space="preserve">a los Honorables Representantes </w:t>
      </w:r>
      <w:r w:rsidR="00D57CFE" w:rsidRPr="00254F1F">
        <w:rPr>
          <w:rFonts w:ascii="Arial" w:eastAsia="Times New Roman" w:hAnsi="Arial" w:cs="Arial"/>
          <w:color w:val="000000"/>
          <w:sz w:val="24"/>
          <w:szCs w:val="24"/>
        </w:rPr>
        <w:t>Jorge Enrique Benedetti Martelo</w:t>
      </w:r>
      <w:r w:rsidR="00D57CFE">
        <w:rPr>
          <w:rFonts w:ascii="Arial" w:eastAsia="Times New Roman" w:hAnsi="Arial" w:cs="Arial"/>
          <w:color w:val="000000"/>
          <w:sz w:val="24"/>
          <w:szCs w:val="24"/>
        </w:rPr>
        <w:t xml:space="preserve">, </w:t>
      </w:r>
      <w:r w:rsidR="00D57CFE" w:rsidRPr="00254F1F">
        <w:rPr>
          <w:rFonts w:ascii="Arial" w:eastAsia="Times New Roman" w:hAnsi="Arial" w:cs="Arial"/>
          <w:color w:val="000000"/>
          <w:sz w:val="24"/>
          <w:szCs w:val="24"/>
        </w:rPr>
        <w:t>Jairo Reinaldo Cala Suarez </w:t>
      </w:r>
      <w:r w:rsidR="00D57CFE">
        <w:rPr>
          <w:rFonts w:ascii="Arial" w:eastAsia="Times New Roman" w:hAnsi="Arial" w:cs="Arial"/>
          <w:color w:val="000000"/>
          <w:sz w:val="24"/>
          <w:szCs w:val="24"/>
        </w:rPr>
        <w:t>y</w:t>
      </w:r>
      <w:r w:rsidR="007442D3">
        <w:rPr>
          <w:rFonts w:ascii="Arial" w:eastAsia="Arial" w:hAnsi="Arial" w:cs="Arial"/>
          <w:color w:val="000000" w:themeColor="text1"/>
          <w:sz w:val="24"/>
          <w:szCs w:val="24"/>
        </w:rPr>
        <w:t xml:space="preserve"> </w:t>
      </w:r>
      <w:r w:rsidR="009E5B07" w:rsidRPr="00A97A3A">
        <w:rPr>
          <w:rFonts w:ascii="Arial" w:eastAsia="Arial" w:hAnsi="Arial" w:cs="Arial"/>
          <w:color w:val="000000" w:themeColor="text1"/>
          <w:sz w:val="24"/>
          <w:szCs w:val="24"/>
        </w:rPr>
        <w:t>José</w:t>
      </w:r>
      <w:r w:rsidRPr="00A97A3A">
        <w:rPr>
          <w:rFonts w:ascii="Arial" w:eastAsia="Arial" w:hAnsi="Arial" w:cs="Arial"/>
          <w:color w:val="000000" w:themeColor="text1"/>
          <w:sz w:val="24"/>
          <w:szCs w:val="24"/>
        </w:rPr>
        <w:t xml:space="preserve"> Luis Correa López</w:t>
      </w:r>
      <w:r w:rsidR="00683F56">
        <w:rPr>
          <w:rFonts w:ascii="Arial" w:eastAsia="Arial" w:hAnsi="Arial" w:cs="Arial"/>
          <w:color w:val="000000" w:themeColor="text1"/>
          <w:sz w:val="24"/>
          <w:szCs w:val="24"/>
        </w:rPr>
        <w:t xml:space="preserve"> (coordinador ponente)</w:t>
      </w:r>
      <w:r w:rsidRPr="00A97A3A">
        <w:rPr>
          <w:rFonts w:ascii="Arial" w:eastAsia="Arial" w:hAnsi="Arial" w:cs="Arial"/>
          <w:color w:val="000000" w:themeColor="text1"/>
          <w:sz w:val="24"/>
          <w:szCs w:val="24"/>
        </w:rPr>
        <w:t>.</w:t>
      </w:r>
    </w:p>
    <w:p w14:paraId="73A9B2D4" w14:textId="1EFB577A" w:rsidR="00CB0DC2" w:rsidRDefault="00CB0DC2" w:rsidP="007442D3">
      <w:pPr>
        <w:pBdr>
          <w:top w:val="nil"/>
          <w:left w:val="nil"/>
          <w:bottom w:val="nil"/>
          <w:right w:val="nil"/>
          <w:between w:val="nil"/>
        </w:pBdr>
        <w:spacing w:after="0" w:line="240" w:lineRule="auto"/>
        <w:rPr>
          <w:rFonts w:ascii="Arial" w:eastAsia="Arial" w:hAnsi="Arial" w:cs="Arial"/>
          <w:color w:val="000000" w:themeColor="text1"/>
          <w:sz w:val="24"/>
          <w:szCs w:val="24"/>
        </w:rPr>
      </w:pPr>
    </w:p>
    <w:p w14:paraId="2B57A51C" w14:textId="1B861356" w:rsidR="00CB0DC2" w:rsidRDefault="00CB0DC2" w:rsidP="007442D3">
      <w:pPr>
        <w:pBdr>
          <w:top w:val="nil"/>
          <w:left w:val="nil"/>
          <w:bottom w:val="nil"/>
          <w:right w:val="nil"/>
          <w:between w:val="nil"/>
        </w:pBdr>
        <w:spacing w:after="0" w:line="240" w:lineRule="auto"/>
        <w:rPr>
          <w:rFonts w:ascii="Arial" w:eastAsia="Arial" w:hAnsi="Arial" w:cs="Arial"/>
          <w:color w:val="000000" w:themeColor="text1"/>
          <w:sz w:val="24"/>
          <w:szCs w:val="24"/>
        </w:rPr>
      </w:pPr>
      <w:r>
        <w:rPr>
          <w:rFonts w:ascii="Arial" w:eastAsia="Arial" w:hAnsi="Arial" w:cs="Arial"/>
          <w:color w:val="000000" w:themeColor="text1"/>
          <w:sz w:val="24"/>
          <w:szCs w:val="24"/>
        </w:rPr>
        <w:t>La ponencia positiva para primer debate fue radicada en la secretaria de la comisión séptima la cual fue discutida y aprobada en sesión ordinaria el día 25 de mayo de 2021 sin modificación alguna.</w:t>
      </w:r>
      <w:r w:rsidR="008157A3">
        <w:rPr>
          <w:rFonts w:ascii="Arial" w:eastAsia="Arial" w:hAnsi="Arial" w:cs="Arial"/>
          <w:color w:val="000000" w:themeColor="text1"/>
          <w:sz w:val="24"/>
          <w:szCs w:val="24"/>
        </w:rPr>
        <w:t xml:space="preserve"> El día 27 de mayo de la misma anualidad, fuimos designados como ponentes de segundo debate los mismos congresistas antes relacionados.</w:t>
      </w:r>
    </w:p>
    <w:p w14:paraId="19196CB0" w14:textId="77777777" w:rsidR="00ED19EB" w:rsidRPr="00111B27" w:rsidRDefault="00ED19EB" w:rsidP="0060437D">
      <w:pPr>
        <w:pBdr>
          <w:top w:val="nil"/>
          <w:left w:val="nil"/>
          <w:bottom w:val="nil"/>
          <w:right w:val="nil"/>
          <w:between w:val="nil"/>
        </w:pBdr>
        <w:spacing w:after="0" w:line="240" w:lineRule="auto"/>
        <w:rPr>
          <w:rFonts w:ascii="Arial" w:eastAsia="Arial" w:hAnsi="Arial" w:cs="Arial"/>
          <w:b/>
          <w:color w:val="000000" w:themeColor="text1"/>
          <w:sz w:val="24"/>
          <w:szCs w:val="24"/>
        </w:rPr>
      </w:pPr>
    </w:p>
    <w:p w14:paraId="44F1C502" w14:textId="0A1FB76B" w:rsidR="00A458EB" w:rsidRDefault="00A458EB" w:rsidP="00111B27">
      <w:pPr>
        <w:pStyle w:val="Prrafodelista"/>
        <w:numPr>
          <w:ilvl w:val="0"/>
          <w:numId w:val="6"/>
        </w:numPr>
        <w:pBdr>
          <w:top w:val="nil"/>
          <w:left w:val="nil"/>
          <w:bottom w:val="nil"/>
          <w:right w:val="nil"/>
          <w:between w:val="nil"/>
        </w:pBd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OBJETO DEL PROYECTO </w:t>
      </w:r>
    </w:p>
    <w:p w14:paraId="7DCC479A" w14:textId="7D6C3C10" w:rsidR="00A458EB" w:rsidRDefault="00A458EB" w:rsidP="00A458EB">
      <w:pPr>
        <w:pBdr>
          <w:top w:val="nil"/>
          <w:left w:val="nil"/>
          <w:bottom w:val="nil"/>
          <w:right w:val="nil"/>
          <w:between w:val="nil"/>
        </w:pBdr>
        <w:spacing w:after="0" w:line="240" w:lineRule="auto"/>
        <w:rPr>
          <w:rFonts w:ascii="Arial" w:hAnsi="Arial" w:cs="Arial"/>
          <w:b/>
          <w:color w:val="000000" w:themeColor="text1"/>
          <w:sz w:val="24"/>
          <w:szCs w:val="24"/>
        </w:rPr>
      </w:pPr>
    </w:p>
    <w:p w14:paraId="75B461F5" w14:textId="77777777" w:rsidR="00577778" w:rsidRDefault="00577778" w:rsidP="00577778">
      <w:pPr>
        <w:pStyle w:val="Prrafodelista"/>
        <w:spacing w:after="200" w:line="240" w:lineRule="auto"/>
        <w:ind w:left="0"/>
        <w:jc w:val="both"/>
        <w:rPr>
          <w:rFonts w:ascii="Arial" w:eastAsia="Arial" w:hAnsi="Arial" w:cs="Arial"/>
          <w:sz w:val="24"/>
          <w:szCs w:val="24"/>
        </w:rPr>
      </w:pPr>
      <w:r w:rsidRPr="00A448F2">
        <w:rPr>
          <w:rFonts w:ascii="Arial" w:hAnsi="Arial" w:cs="Arial"/>
          <w:sz w:val="24"/>
          <w:szCs w:val="24"/>
        </w:rPr>
        <w:t xml:space="preserve">La presente ley </w:t>
      </w:r>
      <w:r>
        <w:rPr>
          <w:rFonts w:ascii="Arial" w:hAnsi="Arial" w:cs="Arial"/>
          <w:sz w:val="24"/>
          <w:szCs w:val="24"/>
        </w:rPr>
        <w:t xml:space="preserve">pretende actualizar el </w:t>
      </w:r>
      <w:r w:rsidRPr="00A448F2">
        <w:rPr>
          <w:rFonts w:ascii="Arial" w:hAnsi="Arial" w:cs="Arial"/>
          <w:sz w:val="24"/>
          <w:szCs w:val="24"/>
        </w:rPr>
        <w:t>marco normativo de modo que se adopte</w:t>
      </w:r>
      <w:r w:rsidRPr="00A448F2">
        <w:rPr>
          <w:rFonts w:ascii="Arial" w:eastAsia="Arial" w:hAnsi="Arial" w:cs="Arial"/>
          <w:sz w:val="24"/>
          <w:szCs w:val="24"/>
        </w:rPr>
        <w:t xml:space="preserve"> el enfoque de carga de la enfermedad en Colombia</w:t>
      </w:r>
      <w:r>
        <w:rPr>
          <w:rFonts w:ascii="Arial" w:eastAsia="Arial" w:hAnsi="Arial" w:cs="Arial"/>
          <w:sz w:val="24"/>
          <w:szCs w:val="24"/>
        </w:rPr>
        <w:t>,</w:t>
      </w:r>
      <w:r w:rsidRPr="00A448F2">
        <w:rPr>
          <w:rFonts w:ascii="Arial" w:eastAsia="Arial" w:hAnsi="Arial" w:cs="Arial"/>
          <w:sz w:val="24"/>
          <w:szCs w:val="24"/>
        </w:rPr>
        <w:t xml:space="preserve"> que tenga en cuenta las consecuencias epidemiológicas y económicas de la enfermedad y </w:t>
      </w:r>
      <w:r>
        <w:rPr>
          <w:rFonts w:ascii="Arial" w:eastAsia="Arial" w:hAnsi="Arial" w:cs="Arial"/>
          <w:sz w:val="24"/>
          <w:szCs w:val="24"/>
        </w:rPr>
        <w:t xml:space="preserve">se </w:t>
      </w:r>
      <w:r w:rsidRPr="00A448F2">
        <w:rPr>
          <w:rFonts w:ascii="Arial" w:eastAsia="Arial" w:hAnsi="Arial" w:cs="Arial"/>
          <w:sz w:val="24"/>
          <w:szCs w:val="24"/>
        </w:rPr>
        <w:t>determin</w:t>
      </w:r>
      <w:r>
        <w:rPr>
          <w:rFonts w:ascii="Arial" w:eastAsia="Arial" w:hAnsi="Arial" w:cs="Arial"/>
          <w:sz w:val="24"/>
          <w:szCs w:val="24"/>
        </w:rPr>
        <w:t>e</w:t>
      </w:r>
      <w:r w:rsidRPr="00A448F2">
        <w:rPr>
          <w:rFonts w:ascii="Arial" w:eastAsia="Arial" w:hAnsi="Arial" w:cs="Arial"/>
          <w:sz w:val="24"/>
          <w:szCs w:val="24"/>
        </w:rPr>
        <w:t xml:space="preserve"> la alta carga como factor para priorización de los cánceres, respond</w:t>
      </w:r>
      <w:r>
        <w:rPr>
          <w:rFonts w:ascii="Arial" w:eastAsia="Arial" w:hAnsi="Arial" w:cs="Arial"/>
          <w:sz w:val="24"/>
          <w:szCs w:val="24"/>
        </w:rPr>
        <w:t>iendo</w:t>
      </w:r>
      <w:r w:rsidRPr="00A448F2">
        <w:rPr>
          <w:rFonts w:ascii="Arial" w:eastAsia="Arial" w:hAnsi="Arial" w:cs="Arial"/>
          <w:sz w:val="24"/>
          <w:szCs w:val="24"/>
        </w:rPr>
        <w:t xml:space="preserve"> a los cambios que está experimentando al país y </w:t>
      </w:r>
      <w:r>
        <w:rPr>
          <w:rFonts w:ascii="Arial" w:eastAsia="Arial" w:hAnsi="Arial" w:cs="Arial"/>
          <w:sz w:val="24"/>
          <w:szCs w:val="24"/>
        </w:rPr>
        <w:t>aumentar la capacidad de respuesta</w:t>
      </w:r>
      <w:r w:rsidRPr="00A448F2">
        <w:rPr>
          <w:rFonts w:ascii="Arial" w:eastAsia="Arial" w:hAnsi="Arial" w:cs="Arial"/>
          <w:sz w:val="24"/>
          <w:szCs w:val="24"/>
        </w:rPr>
        <w:t xml:space="preserve">. </w:t>
      </w:r>
    </w:p>
    <w:p w14:paraId="5251E996" w14:textId="77777777" w:rsidR="00577778" w:rsidRDefault="00577778" w:rsidP="00577778">
      <w:pPr>
        <w:pStyle w:val="Prrafodelista"/>
        <w:spacing w:after="200" w:line="240" w:lineRule="auto"/>
        <w:ind w:left="0"/>
        <w:jc w:val="both"/>
        <w:rPr>
          <w:rFonts w:ascii="Arial" w:eastAsia="Arial" w:hAnsi="Arial" w:cs="Arial"/>
          <w:sz w:val="24"/>
          <w:szCs w:val="24"/>
        </w:rPr>
      </w:pPr>
    </w:p>
    <w:p w14:paraId="5B8FBD8C" w14:textId="241EF2B6" w:rsidR="00577778" w:rsidRPr="00A448F2" w:rsidRDefault="00577778" w:rsidP="00FE6ECA">
      <w:pPr>
        <w:pStyle w:val="Prrafodelista"/>
        <w:spacing w:after="0" w:line="240" w:lineRule="auto"/>
        <w:ind w:left="0"/>
        <w:jc w:val="both"/>
        <w:rPr>
          <w:rFonts w:ascii="Arial" w:hAnsi="Arial" w:cs="Arial"/>
          <w:sz w:val="24"/>
          <w:szCs w:val="24"/>
        </w:rPr>
      </w:pPr>
      <w:r w:rsidRPr="00A448F2">
        <w:rPr>
          <w:rFonts w:ascii="Arial" w:eastAsia="Arial" w:hAnsi="Arial" w:cs="Arial"/>
          <w:sz w:val="24"/>
          <w:szCs w:val="24"/>
        </w:rPr>
        <w:t>Lo anterior para garantizar un uso eficiente de los recursos asignados</w:t>
      </w:r>
      <w:r>
        <w:rPr>
          <w:rFonts w:ascii="Arial" w:eastAsia="Arial" w:hAnsi="Arial" w:cs="Arial"/>
          <w:sz w:val="24"/>
          <w:szCs w:val="24"/>
        </w:rPr>
        <w:t>,</w:t>
      </w:r>
      <w:r w:rsidRPr="00A448F2">
        <w:rPr>
          <w:rFonts w:ascii="Arial" w:eastAsia="Arial" w:hAnsi="Arial" w:cs="Arial"/>
          <w:sz w:val="24"/>
          <w:szCs w:val="24"/>
        </w:rPr>
        <w:t xml:space="preserve"> mejorar la atención de los tipos de cáncer de alta carga en el país y la atención integral con esfuerzos que respondan a la alta carga.</w:t>
      </w:r>
    </w:p>
    <w:p w14:paraId="4A925ADE" w14:textId="77777777" w:rsidR="00A458EB" w:rsidRPr="00A458EB" w:rsidRDefault="00A458EB" w:rsidP="00FE6ECA">
      <w:pPr>
        <w:pBdr>
          <w:top w:val="nil"/>
          <w:left w:val="nil"/>
          <w:bottom w:val="nil"/>
          <w:right w:val="nil"/>
          <w:between w:val="nil"/>
        </w:pBdr>
        <w:spacing w:after="0" w:line="240" w:lineRule="auto"/>
        <w:rPr>
          <w:rFonts w:ascii="Arial" w:hAnsi="Arial" w:cs="Arial"/>
          <w:b/>
          <w:color w:val="000000" w:themeColor="text1"/>
          <w:sz w:val="24"/>
          <w:szCs w:val="24"/>
        </w:rPr>
      </w:pPr>
    </w:p>
    <w:p w14:paraId="1EDFB9D3" w14:textId="3A106191" w:rsidR="00111B27" w:rsidRDefault="007B02C4" w:rsidP="00FE6ECA">
      <w:pPr>
        <w:pStyle w:val="Prrafodelista"/>
        <w:numPr>
          <w:ilvl w:val="0"/>
          <w:numId w:val="6"/>
        </w:numPr>
        <w:pBdr>
          <w:top w:val="nil"/>
          <w:left w:val="nil"/>
          <w:bottom w:val="nil"/>
          <w:right w:val="nil"/>
          <w:between w:val="nil"/>
        </w:pBdr>
        <w:spacing w:after="0" w:line="240" w:lineRule="auto"/>
        <w:rPr>
          <w:rFonts w:ascii="Arial" w:hAnsi="Arial" w:cs="Arial"/>
          <w:b/>
          <w:color w:val="000000" w:themeColor="text1"/>
          <w:sz w:val="24"/>
          <w:szCs w:val="24"/>
        </w:rPr>
      </w:pPr>
      <w:r w:rsidRPr="00111B27">
        <w:rPr>
          <w:rFonts w:ascii="Arial" w:hAnsi="Arial" w:cs="Arial"/>
          <w:b/>
          <w:color w:val="000000" w:themeColor="text1"/>
          <w:sz w:val="24"/>
          <w:szCs w:val="24"/>
        </w:rPr>
        <w:t xml:space="preserve">MARCO JURIDICO </w:t>
      </w:r>
    </w:p>
    <w:p w14:paraId="217BD20B" w14:textId="6091691B" w:rsidR="00A008D2" w:rsidRDefault="00A008D2" w:rsidP="00FE6ECA">
      <w:pPr>
        <w:pBdr>
          <w:top w:val="nil"/>
          <w:left w:val="nil"/>
          <w:bottom w:val="nil"/>
          <w:right w:val="nil"/>
          <w:between w:val="nil"/>
        </w:pBdr>
        <w:spacing w:after="0" w:line="240" w:lineRule="auto"/>
        <w:rPr>
          <w:rFonts w:ascii="Arial" w:hAnsi="Arial" w:cs="Arial"/>
          <w:b/>
          <w:color w:val="000000" w:themeColor="text1"/>
          <w:sz w:val="24"/>
          <w:szCs w:val="24"/>
        </w:rPr>
      </w:pPr>
    </w:p>
    <w:p w14:paraId="20ADBB16" w14:textId="77777777" w:rsidR="00E07365" w:rsidRPr="00A448F2" w:rsidRDefault="00E07365" w:rsidP="00FE6ECA">
      <w:pPr>
        <w:spacing w:after="0" w:line="240" w:lineRule="auto"/>
        <w:contextualSpacing/>
        <w:rPr>
          <w:rFonts w:ascii="Arial" w:hAnsi="Arial" w:cs="Arial"/>
          <w:b/>
          <w:sz w:val="24"/>
          <w:szCs w:val="24"/>
        </w:rPr>
      </w:pPr>
      <w:r w:rsidRPr="00A448F2">
        <w:rPr>
          <w:rFonts w:ascii="Arial" w:hAnsi="Arial" w:cs="Arial"/>
          <w:b/>
          <w:sz w:val="24"/>
          <w:szCs w:val="24"/>
        </w:rPr>
        <w:t xml:space="preserve">NORMAS INTERNACIONALES </w:t>
      </w:r>
    </w:p>
    <w:p w14:paraId="43EEF6A3" w14:textId="77777777" w:rsidR="00E07365" w:rsidRPr="00A448F2" w:rsidRDefault="00E07365" w:rsidP="00FE6ECA">
      <w:pPr>
        <w:spacing w:after="0" w:line="240" w:lineRule="auto"/>
        <w:contextualSpacing/>
        <w:rPr>
          <w:rFonts w:ascii="Arial" w:hAnsi="Arial" w:cs="Arial"/>
          <w:b/>
          <w:sz w:val="24"/>
          <w:szCs w:val="24"/>
        </w:rPr>
      </w:pPr>
    </w:p>
    <w:p w14:paraId="4178952B" w14:textId="77777777" w:rsidR="00E07365" w:rsidRPr="00A448F2" w:rsidRDefault="00E07365" w:rsidP="00FE6ECA">
      <w:pPr>
        <w:pStyle w:val="NormalWeb"/>
        <w:spacing w:before="0" w:beforeAutospacing="0" w:after="0" w:afterAutospacing="0"/>
        <w:contextualSpacing/>
        <w:jc w:val="both"/>
        <w:rPr>
          <w:rFonts w:ascii="Arial" w:hAnsi="Arial" w:cs="Arial"/>
        </w:rPr>
      </w:pPr>
      <w:r w:rsidRPr="00A448F2">
        <w:rPr>
          <w:rFonts w:ascii="Arial" w:hAnsi="Arial" w:cs="Arial"/>
        </w:rPr>
        <w:t>L</w:t>
      </w:r>
      <w:r w:rsidRPr="00A448F2">
        <w:rPr>
          <w:rFonts w:ascii="Arial" w:hAnsi="Arial" w:cs="Arial"/>
          <w:bCs/>
          <w:shd w:val="clear" w:color="auto" w:fill="FFFFFF"/>
          <w:lang w:eastAsia="es-ES"/>
        </w:rPr>
        <w:t xml:space="preserve">a </w:t>
      </w:r>
      <w:r w:rsidRPr="00A448F2">
        <w:rPr>
          <w:rFonts w:ascii="Arial" w:hAnsi="Arial" w:cs="Arial"/>
          <w:b/>
        </w:rPr>
        <w:t>Declaración Universal de Derechos Humanos</w:t>
      </w:r>
      <w:r w:rsidRPr="00A448F2">
        <w:rPr>
          <w:rFonts w:ascii="Arial" w:hAnsi="Arial" w:cs="Arial"/>
        </w:rPr>
        <w:t xml:space="preserve"> suscrita por el Estado Colombiano, preceptúa en el numeral 1 del artículo 25 que: “</w:t>
      </w:r>
      <w:r w:rsidRPr="00A448F2">
        <w:rPr>
          <w:rFonts w:ascii="Arial" w:hAnsi="Arial" w:cs="Arial"/>
          <w:i/>
        </w:rPr>
        <w:t xml:space="preserve">Toda persona tiene derecho a un nivel de vida adecuado que le asegure, así como a su familia, </w:t>
      </w:r>
      <w:r w:rsidRPr="00A448F2">
        <w:rPr>
          <w:rFonts w:ascii="Arial" w:hAnsi="Arial" w:cs="Arial"/>
          <w:i/>
          <w:u w:val="single"/>
        </w:rPr>
        <w:t>la salud y el bienestar</w:t>
      </w:r>
      <w:r w:rsidRPr="00A448F2">
        <w:rPr>
          <w:rFonts w:ascii="Arial" w:hAnsi="Arial" w:cs="Arial"/>
          <w:i/>
        </w:rPr>
        <w:t xml:space="preserve">, y en especial la alimentación, el vestido, la vivienda, la asistencia médica y los servicios sociales necesarios; tiene asimismo </w:t>
      </w:r>
      <w:r w:rsidRPr="00A448F2">
        <w:rPr>
          <w:rFonts w:ascii="Arial" w:hAnsi="Arial" w:cs="Arial"/>
          <w:i/>
          <w:u w:val="single"/>
        </w:rPr>
        <w:t>derecho a los seguros</w:t>
      </w:r>
      <w:r w:rsidRPr="00A448F2">
        <w:rPr>
          <w:rFonts w:ascii="Arial" w:hAnsi="Arial" w:cs="Arial"/>
          <w:i/>
        </w:rPr>
        <w:t xml:space="preserve"> en caso de desempleo</w:t>
      </w:r>
      <w:r w:rsidRPr="00A448F2">
        <w:rPr>
          <w:rFonts w:ascii="Arial" w:hAnsi="Arial" w:cs="Arial"/>
          <w:i/>
          <w:u w:val="single"/>
        </w:rPr>
        <w:t>, enfermedad</w:t>
      </w:r>
      <w:r w:rsidRPr="00A448F2">
        <w:rPr>
          <w:rFonts w:ascii="Arial" w:hAnsi="Arial" w:cs="Arial"/>
          <w:i/>
        </w:rPr>
        <w:t>, invalidez, vejez u otros casos de pérdida de sus medios de subsistencia por circunstancias independientes de su voluntad</w:t>
      </w:r>
      <w:r w:rsidRPr="00A448F2">
        <w:rPr>
          <w:rFonts w:ascii="Arial" w:hAnsi="Arial" w:cs="Arial"/>
        </w:rPr>
        <w:t xml:space="preserve">." (cursiva y subraya fuera de texto). </w:t>
      </w:r>
    </w:p>
    <w:p w14:paraId="49FF772D" w14:textId="77777777" w:rsidR="00E07365" w:rsidRPr="00A448F2" w:rsidRDefault="00E07365" w:rsidP="00FE6ECA">
      <w:pPr>
        <w:pStyle w:val="NormalWeb"/>
        <w:spacing w:before="0" w:beforeAutospacing="0" w:after="0" w:afterAutospacing="0"/>
        <w:contextualSpacing/>
        <w:jc w:val="both"/>
        <w:rPr>
          <w:rFonts w:ascii="Arial" w:hAnsi="Arial" w:cs="Arial"/>
        </w:rPr>
      </w:pPr>
    </w:p>
    <w:p w14:paraId="688BCA0B" w14:textId="77777777" w:rsidR="00E07365" w:rsidRPr="00A448F2" w:rsidRDefault="00E07365" w:rsidP="002B42D9">
      <w:pPr>
        <w:pStyle w:val="NormalWeb"/>
        <w:spacing w:before="0" w:beforeAutospacing="0" w:after="0" w:afterAutospacing="0"/>
        <w:contextualSpacing/>
        <w:jc w:val="both"/>
        <w:rPr>
          <w:rFonts w:ascii="Arial" w:hAnsi="Arial" w:cs="Arial"/>
        </w:rPr>
      </w:pPr>
      <w:r w:rsidRPr="00A448F2">
        <w:rPr>
          <w:rFonts w:ascii="Arial" w:hAnsi="Arial" w:cs="Arial"/>
        </w:rPr>
        <w:t xml:space="preserve">El </w:t>
      </w:r>
      <w:r w:rsidRPr="00A448F2">
        <w:rPr>
          <w:rFonts w:ascii="Arial" w:hAnsi="Arial" w:cs="Arial"/>
          <w:b/>
        </w:rPr>
        <w:t>Pacto Internacional de Derechos Económicos, Sociales y Culturales</w:t>
      </w:r>
      <w:r w:rsidRPr="00A448F2">
        <w:rPr>
          <w:rFonts w:ascii="Arial" w:hAnsi="Arial" w:cs="Arial"/>
        </w:rPr>
        <w:t xml:space="preserve"> aprobada mediante la Ley 74 de 1968, reconoce el derecho de toda persona al disfrute del más alto nivel posible de salud física y mental y señala como medida que debe adoptar los estados partes para asegurar la plena efectividad de este derecho: c) </w:t>
      </w:r>
      <w:r w:rsidRPr="00A448F2">
        <w:rPr>
          <w:rFonts w:ascii="Arial" w:hAnsi="Arial" w:cs="Arial"/>
          <w:u w:val="single"/>
        </w:rPr>
        <w:t>La prevención y el tratamiento de las enfermedades epidémicas, endémicas, profesionales y de otra índole, y la lucha contra ellas; d) La creación de condiciones que aseguren a todos asistencia médica y servicios médicos en caso de enfermedad</w:t>
      </w:r>
      <w:r w:rsidRPr="00A448F2">
        <w:rPr>
          <w:rFonts w:ascii="Arial" w:hAnsi="Arial" w:cs="Arial"/>
        </w:rPr>
        <w:t xml:space="preserve">.” (cursiva y subraya fuera de texto). </w:t>
      </w:r>
    </w:p>
    <w:p w14:paraId="55D2F9E3" w14:textId="77777777" w:rsidR="00E07365" w:rsidRPr="00A448F2" w:rsidRDefault="00E07365" w:rsidP="002B42D9">
      <w:pPr>
        <w:pStyle w:val="NormalWeb"/>
        <w:spacing w:before="0" w:beforeAutospacing="0" w:after="0" w:afterAutospacing="0"/>
        <w:contextualSpacing/>
        <w:jc w:val="both"/>
        <w:rPr>
          <w:rFonts w:ascii="Arial" w:hAnsi="Arial" w:cs="Arial"/>
        </w:rPr>
      </w:pPr>
    </w:p>
    <w:p w14:paraId="19C956E7" w14:textId="77777777" w:rsidR="00E07365" w:rsidRPr="00A448F2" w:rsidRDefault="00E07365" w:rsidP="002B42D9">
      <w:pPr>
        <w:pStyle w:val="NormalWeb"/>
        <w:spacing w:before="0" w:beforeAutospacing="0" w:after="0" w:afterAutospacing="0"/>
        <w:contextualSpacing/>
        <w:jc w:val="both"/>
        <w:rPr>
          <w:rFonts w:ascii="Arial" w:hAnsi="Arial" w:cs="Arial"/>
        </w:rPr>
      </w:pPr>
      <w:r w:rsidRPr="00A448F2">
        <w:rPr>
          <w:rFonts w:ascii="Arial" w:hAnsi="Arial" w:cs="Arial"/>
        </w:rPr>
        <w:lastRenderedPageBreak/>
        <w:t xml:space="preserve">En el sistema interamericano de derechos humanos, el </w:t>
      </w:r>
      <w:r w:rsidRPr="00A448F2">
        <w:rPr>
          <w:rFonts w:ascii="Arial" w:hAnsi="Arial" w:cs="Arial"/>
          <w:b/>
        </w:rPr>
        <w:t>Protocolo Adicional de la Convención Interamericana de Derechos Humanos en materia de Derechos Económicos, Sociales y Culturales, "Protocolo de San Salvador" (1988),</w:t>
      </w:r>
      <w:r w:rsidRPr="00A448F2">
        <w:rPr>
          <w:rFonts w:ascii="Arial" w:hAnsi="Arial" w:cs="Arial"/>
        </w:rPr>
        <w:t xml:space="preserve"> aprobado </w:t>
      </w:r>
      <w:r w:rsidRPr="00A448F2">
        <w:rPr>
          <w:rFonts w:ascii="Arial" w:hAnsi="Arial" w:cs="Arial"/>
          <w:b/>
        </w:rPr>
        <w:t xml:space="preserve"> mediante la Ley 319 de 1996</w:t>
      </w:r>
      <w:r w:rsidRPr="00A448F2">
        <w:rPr>
          <w:rFonts w:ascii="Arial" w:hAnsi="Arial" w:cs="Arial"/>
        </w:rPr>
        <w:t xml:space="preserve">, establece en el artículo 10 "Derecho a la Salud” en ´términos de : "Toda persona tiene derecho a la salud, entendida como el disfrute del más alto nivel de bienestar físico, mental y social Toda persona tiene derecho a protección especial durante su ancianidad.” e indica que “Con el fin de hacer efectivo el derecho a la salud los Estados partes se comprometen a reconocer la salud como un bien público y particularmente a adoptar las siguientes medidas para garantizar este derecho:  </w:t>
      </w:r>
      <w:r w:rsidRPr="00A448F2">
        <w:rPr>
          <w:rFonts w:ascii="Arial" w:hAnsi="Arial" w:cs="Arial"/>
          <w:i/>
          <w:u w:val="single"/>
        </w:rPr>
        <w:t>b. la extensión de los beneficios de los servicios de salud a todos los individuos sujetos a la jurisdicción del Estado; d. la prevención y el tratamiento de las enfermedades endémicas, profesionales y de otra índole; f.la satisfacción de las necesidades de salud de los grupos de más alto riesgo y que por sus condiciones de pobreza sean más vulnerables</w:t>
      </w:r>
      <w:r w:rsidRPr="00A448F2">
        <w:rPr>
          <w:rFonts w:ascii="Arial" w:hAnsi="Arial" w:cs="Arial"/>
        </w:rPr>
        <w:t xml:space="preserve">”. (cursiva y subraya fuera de texto). </w:t>
      </w:r>
    </w:p>
    <w:p w14:paraId="5C17A2CC" w14:textId="77777777" w:rsidR="00E07365" w:rsidRPr="00A448F2" w:rsidRDefault="00E07365" w:rsidP="002B42D9">
      <w:pPr>
        <w:pStyle w:val="NormalWeb"/>
        <w:spacing w:before="0" w:beforeAutospacing="0" w:after="0" w:afterAutospacing="0"/>
        <w:contextualSpacing/>
        <w:jc w:val="both"/>
        <w:rPr>
          <w:rFonts w:ascii="Arial" w:hAnsi="Arial" w:cs="Arial"/>
        </w:rPr>
      </w:pPr>
    </w:p>
    <w:p w14:paraId="11CD65DF" w14:textId="77777777" w:rsidR="00E07365" w:rsidRDefault="00E07365" w:rsidP="002B42D9">
      <w:pPr>
        <w:spacing w:after="0" w:line="240" w:lineRule="auto"/>
        <w:contextualSpacing/>
        <w:rPr>
          <w:rFonts w:ascii="Arial" w:hAnsi="Arial" w:cs="Arial"/>
          <w:sz w:val="24"/>
          <w:szCs w:val="24"/>
        </w:rPr>
      </w:pPr>
      <w:r w:rsidRPr="00A448F2">
        <w:rPr>
          <w:rFonts w:ascii="Arial" w:hAnsi="Arial" w:cs="Arial"/>
          <w:sz w:val="24"/>
          <w:szCs w:val="24"/>
        </w:rPr>
        <w:t xml:space="preserve">La </w:t>
      </w:r>
      <w:r w:rsidRPr="00A448F2">
        <w:rPr>
          <w:rFonts w:ascii="Arial" w:hAnsi="Arial" w:cs="Arial"/>
          <w:b/>
          <w:bCs/>
          <w:sz w:val="24"/>
          <w:szCs w:val="24"/>
        </w:rPr>
        <w:t>Resolución WHA58.22 de 2005 de la Asamblea Mundial de la Salud</w:t>
      </w:r>
      <w:r w:rsidRPr="00A448F2">
        <w:rPr>
          <w:rFonts w:ascii="Arial" w:hAnsi="Arial" w:cs="Arial"/>
          <w:sz w:val="24"/>
          <w:szCs w:val="24"/>
        </w:rPr>
        <w:t xml:space="preserve">: Prevención y control del cáncer: Insta a los Estados Miembros a que, en la planificación de sus actividades de control, presten especial atención a los cánceres relacionados con exposiciones evitables, en particular la exposición a algunos agentes infecciosos. • Organización de las Naciones Unidas (ONU): Normas Uniformes sobre Igualdad de Oportunidades para las Personas con Discapacidad, 1993. </w:t>
      </w:r>
    </w:p>
    <w:p w14:paraId="0FC9D5DC" w14:textId="77777777" w:rsidR="00E07365" w:rsidRPr="00A448F2" w:rsidRDefault="00E07365" w:rsidP="002B42D9">
      <w:pPr>
        <w:spacing w:after="0" w:line="240" w:lineRule="auto"/>
        <w:contextualSpacing/>
        <w:rPr>
          <w:rFonts w:ascii="Arial" w:hAnsi="Arial" w:cs="Arial"/>
          <w:sz w:val="24"/>
          <w:szCs w:val="24"/>
        </w:rPr>
      </w:pPr>
    </w:p>
    <w:p w14:paraId="4D1E1517" w14:textId="77777777" w:rsidR="00E07365" w:rsidRDefault="00E07365" w:rsidP="002B42D9">
      <w:pPr>
        <w:spacing w:after="0" w:line="240" w:lineRule="auto"/>
        <w:contextualSpacing/>
        <w:rPr>
          <w:rFonts w:ascii="Arial" w:hAnsi="Arial" w:cs="Arial"/>
          <w:sz w:val="24"/>
          <w:szCs w:val="24"/>
        </w:rPr>
      </w:pPr>
      <w:r w:rsidRPr="00A448F2">
        <w:rPr>
          <w:rFonts w:ascii="Arial" w:hAnsi="Arial" w:cs="Arial"/>
          <w:sz w:val="24"/>
          <w:szCs w:val="24"/>
        </w:rPr>
        <w:t xml:space="preserve">La </w:t>
      </w:r>
      <w:r w:rsidRPr="00A448F2">
        <w:rPr>
          <w:rFonts w:ascii="Arial" w:hAnsi="Arial" w:cs="Arial"/>
          <w:b/>
          <w:bCs/>
          <w:sz w:val="24"/>
          <w:szCs w:val="24"/>
        </w:rPr>
        <w:t>Resolución CD47.R9 de 2006 de la OPS:</w:t>
      </w:r>
      <w:r w:rsidRPr="00A448F2">
        <w:rPr>
          <w:rFonts w:ascii="Arial" w:hAnsi="Arial" w:cs="Arial"/>
          <w:sz w:val="24"/>
          <w:szCs w:val="24"/>
        </w:rPr>
        <w:t xml:space="preserve"> Estrategia Regional y Plan de Acción para un enfoque integrado sobre la prevención y el control de las enfermedades crónicas, incluyendo el régimen alimentario, la actividad física y la salud.</w:t>
      </w:r>
    </w:p>
    <w:p w14:paraId="161BE7BA" w14:textId="77777777" w:rsidR="00E07365" w:rsidRPr="00A448F2" w:rsidRDefault="00E07365" w:rsidP="002B42D9">
      <w:pPr>
        <w:spacing w:after="0" w:line="240" w:lineRule="auto"/>
        <w:contextualSpacing/>
        <w:rPr>
          <w:rFonts w:ascii="Arial" w:hAnsi="Arial" w:cs="Arial"/>
          <w:sz w:val="24"/>
          <w:szCs w:val="24"/>
        </w:rPr>
      </w:pPr>
    </w:p>
    <w:p w14:paraId="47959247" w14:textId="77777777" w:rsidR="00E07365" w:rsidRPr="00A448F2" w:rsidRDefault="00E07365" w:rsidP="002B42D9">
      <w:pPr>
        <w:pStyle w:val="NormalWeb"/>
        <w:shd w:val="clear" w:color="auto" w:fill="FFFFFF"/>
        <w:spacing w:before="0" w:beforeAutospacing="0" w:after="0" w:afterAutospacing="0"/>
        <w:contextualSpacing/>
        <w:jc w:val="both"/>
        <w:rPr>
          <w:rFonts w:ascii="Arial" w:hAnsi="Arial" w:cs="Arial"/>
          <w:b/>
          <w:bCs/>
        </w:rPr>
      </w:pPr>
      <w:r w:rsidRPr="00A448F2">
        <w:rPr>
          <w:rFonts w:ascii="Arial" w:hAnsi="Arial" w:cs="Arial"/>
          <w:b/>
          <w:bCs/>
        </w:rPr>
        <w:t>FUNDAMENTOS CONSTITUCIONALES</w:t>
      </w:r>
    </w:p>
    <w:p w14:paraId="5019811D" w14:textId="77777777" w:rsidR="00E07365" w:rsidRPr="00A448F2" w:rsidRDefault="00E07365" w:rsidP="002B42D9">
      <w:pPr>
        <w:spacing w:after="0" w:line="240" w:lineRule="auto"/>
        <w:contextualSpacing/>
        <w:rPr>
          <w:rFonts w:ascii="Arial" w:hAnsi="Arial" w:cs="Arial"/>
          <w:sz w:val="24"/>
          <w:szCs w:val="24"/>
        </w:rPr>
      </w:pPr>
    </w:p>
    <w:p w14:paraId="7D7B0EC5" w14:textId="77777777" w:rsidR="00E07365" w:rsidRPr="00A448F2" w:rsidRDefault="00E07365" w:rsidP="002B42D9">
      <w:pPr>
        <w:spacing w:after="0" w:line="240" w:lineRule="auto"/>
        <w:contextualSpacing/>
        <w:rPr>
          <w:rFonts w:ascii="Arial" w:hAnsi="Arial" w:cs="Arial"/>
          <w:i/>
          <w:sz w:val="24"/>
          <w:szCs w:val="24"/>
        </w:rPr>
      </w:pPr>
      <w:r w:rsidRPr="00A448F2">
        <w:rPr>
          <w:rFonts w:ascii="Arial" w:hAnsi="Arial" w:cs="Arial"/>
          <w:sz w:val="24"/>
          <w:szCs w:val="24"/>
        </w:rPr>
        <w:t>El Artículo 49 de la Constitución Nacional estatuye que “</w:t>
      </w:r>
      <w:r w:rsidRPr="00A448F2">
        <w:rPr>
          <w:rFonts w:ascii="Arial" w:hAnsi="Arial" w:cs="Arial"/>
          <w:i/>
          <w:sz w:val="24"/>
          <w:szCs w:val="24"/>
        </w:rPr>
        <w:t xml:space="preserve">La atención de la salud y el saneamiento ambiental son servicios públicos a cargo del Estado. Se garantiza a todas las personas el acceso a los servicios de promoción, protección y recuperación de la salud. 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 Los servicios de salud se organizarán en forma descentralizada, por niveles de atención y con participación de la comunidad. La ley señalará los términos en los cuales la atención básica para </w:t>
      </w:r>
      <w:r w:rsidRPr="00A448F2">
        <w:rPr>
          <w:rFonts w:ascii="Arial" w:hAnsi="Arial" w:cs="Arial"/>
          <w:i/>
          <w:sz w:val="24"/>
          <w:szCs w:val="24"/>
        </w:rPr>
        <w:lastRenderedPageBreak/>
        <w:t xml:space="preserve">todos los habitantes será gratuita y obligatoria. Toda persona tiene el deber de procurar el cuidado integral de su salud y la de su comunidad.” </w:t>
      </w:r>
    </w:p>
    <w:p w14:paraId="74F2A894" w14:textId="77777777" w:rsidR="00E07365" w:rsidRPr="00A448F2" w:rsidRDefault="00E07365" w:rsidP="002B42D9">
      <w:pPr>
        <w:pStyle w:val="NormalWeb"/>
        <w:shd w:val="clear" w:color="auto" w:fill="FFFFFF"/>
        <w:spacing w:before="0" w:beforeAutospacing="0" w:after="0" w:afterAutospacing="0"/>
        <w:contextualSpacing/>
        <w:jc w:val="both"/>
        <w:rPr>
          <w:rFonts w:ascii="Arial" w:hAnsi="Arial" w:cs="Arial"/>
          <w:b/>
          <w:bCs/>
        </w:rPr>
      </w:pPr>
    </w:p>
    <w:p w14:paraId="1C3A3047" w14:textId="77777777" w:rsidR="00E07365" w:rsidRPr="00A448F2" w:rsidRDefault="00E07365" w:rsidP="00E07365">
      <w:pPr>
        <w:shd w:val="clear" w:color="auto" w:fill="FFFFFF"/>
        <w:spacing w:after="0" w:line="240" w:lineRule="auto"/>
        <w:ind w:right="332"/>
        <w:contextualSpacing/>
        <w:rPr>
          <w:rFonts w:ascii="Arial" w:hAnsi="Arial" w:cs="Arial"/>
          <w:b/>
          <w:sz w:val="24"/>
          <w:szCs w:val="24"/>
        </w:rPr>
      </w:pPr>
      <w:r w:rsidRPr="00A448F2">
        <w:rPr>
          <w:rFonts w:ascii="Arial" w:eastAsia="Times New Roman" w:hAnsi="Arial" w:cs="Arial"/>
          <w:b/>
          <w:sz w:val="24"/>
          <w:szCs w:val="24"/>
        </w:rPr>
        <w:t>Protección constitucional reforzada de l</w:t>
      </w:r>
      <w:r w:rsidRPr="00A448F2">
        <w:rPr>
          <w:rFonts w:ascii="Arial" w:hAnsi="Arial" w:cs="Arial"/>
          <w:b/>
          <w:sz w:val="24"/>
          <w:szCs w:val="24"/>
        </w:rPr>
        <w:t xml:space="preserve">as personas con sospecha o diagnóstico de cáncer </w:t>
      </w:r>
    </w:p>
    <w:p w14:paraId="7F5AC6AA" w14:textId="77777777" w:rsidR="00E07365" w:rsidRPr="00A448F2" w:rsidRDefault="00E07365" w:rsidP="00E07365">
      <w:pPr>
        <w:shd w:val="clear" w:color="auto" w:fill="FFFFFF"/>
        <w:spacing w:after="0" w:line="240" w:lineRule="auto"/>
        <w:ind w:right="332"/>
        <w:contextualSpacing/>
        <w:rPr>
          <w:rFonts w:ascii="Arial" w:hAnsi="Arial" w:cs="Arial"/>
          <w:b/>
          <w:sz w:val="24"/>
          <w:szCs w:val="24"/>
        </w:rPr>
      </w:pPr>
    </w:p>
    <w:p w14:paraId="588474C6" w14:textId="77777777" w:rsidR="00E07365" w:rsidRPr="00A448F2" w:rsidRDefault="00E07365" w:rsidP="00E07365">
      <w:pPr>
        <w:shd w:val="clear" w:color="auto" w:fill="FFFFFF"/>
        <w:spacing w:after="0" w:line="240" w:lineRule="auto"/>
        <w:ind w:right="332"/>
        <w:contextualSpacing/>
        <w:rPr>
          <w:rFonts w:ascii="Arial" w:eastAsia="Times New Roman" w:hAnsi="Arial" w:cs="Arial"/>
          <w:sz w:val="24"/>
          <w:szCs w:val="24"/>
        </w:rPr>
      </w:pPr>
      <w:r w:rsidRPr="00A448F2">
        <w:rPr>
          <w:rFonts w:ascii="Arial" w:eastAsia="Times New Roman" w:hAnsi="Arial" w:cs="Arial"/>
          <w:sz w:val="24"/>
          <w:szCs w:val="24"/>
        </w:rPr>
        <w:t xml:space="preserve">La honorable Corte Constitucional ha decantado una línea jurisprudencial en relación con la protección constitucional reforzada para las personas con sospecha o diagnóstico de cáncer; tal línea descansa en la hermenéutica del principio de igualdad material consagrado en el artículo 13 superior. </w:t>
      </w:r>
    </w:p>
    <w:p w14:paraId="6C80A412" w14:textId="77777777" w:rsidR="00E07365" w:rsidRPr="00A448F2" w:rsidRDefault="00E07365" w:rsidP="00E07365">
      <w:pPr>
        <w:shd w:val="clear" w:color="auto" w:fill="FFFFFF"/>
        <w:spacing w:after="0" w:line="240" w:lineRule="auto"/>
        <w:ind w:right="332"/>
        <w:contextualSpacing/>
        <w:rPr>
          <w:rFonts w:ascii="Arial" w:eastAsia="Times New Roman" w:hAnsi="Arial" w:cs="Arial"/>
          <w:sz w:val="24"/>
          <w:szCs w:val="24"/>
        </w:rPr>
      </w:pPr>
    </w:p>
    <w:p w14:paraId="1E234612" w14:textId="77777777" w:rsidR="00E07365" w:rsidRPr="00A448F2" w:rsidRDefault="00E07365" w:rsidP="00E07365">
      <w:pPr>
        <w:shd w:val="clear" w:color="auto" w:fill="FFFFFF"/>
        <w:spacing w:after="0" w:line="240" w:lineRule="auto"/>
        <w:ind w:right="332"/>
        <w:contextualSpacing/>
        <w:rPr>
          <w:rFonts w:ascii="Arial" w:eastAsia="Times New Roman" w:hAnsi="Arial" w:cs="Arial"/>
          <w:sz w:val="24"/>
          <w:szCs w:val="24"/>
        </w:rPr>
      </w:pPr>
      <w:r w:rsidRPr="00A448F2">
        <w:rPr>
          <w:rFonts w:ascii="Arial" w:eastAsia="Times New Roman" w:hAnsi="Arial" w:cs="Arial"/>
          <w:sz w:val="24"/>
          <w:szCs w:val="24"/>
        </w:rPr>
        <w:t xml:space="preserve">En su interpretación de la Carta política ha creado las siguientes subreglas jurisprudenciales: </w:t>
      </w:r>
    </w:p>
    <w:p w14:paraId="4A43DA02" w14:textId="77777777" w:rsidR="00E07365" w:rsidRPr="00A448F2" w:rsidRDefault="00E07365" w:rsidP="00E07365">
      <w:pPr>
        <w:shd w:val="clear" w:color="auto" w:fill="FFFFFF"/>
        <w:spacing w:after="0" w:line="240" w:lineRule="auto"/>
        <w:ind w:right="332"/>
        <w:contextualSpacing/>
        <w:rPr>
          <w:rFonts w:ascii="Arial" w:eastAsia="Times New Roman" w:hAnsi="Arial" w:cs="Arial"/>
          <w:sz w:val="24"/>
          <w:szCs w:val="24"/>
        </w:rPr>
      </w:pPr>
    </w:p>
    <w:p w14:paraId="280F64C8" w14:textId="77777777" w:rsidR="00E07365" w:rsidRPr="00A448F2" w:rsidRDefault="00E07365" w:rsidP="00E07365">
      <w:pPr>
        <w:pStyle w:val="Prrafodelista"/>
        <w:numPr>
          <w:ilvl w:val="0"/>
          <w:numId w:val="25"/>
        </w:numPr>
        <w:shd w:val="clear" w:color="auto" w:fill="FFFFFF"/>
        <w:tabs>
          <w:tab w:val="left" w:pos="284"/>
        </w:tabs>
        <w:spacing w:after="0" w:line="240" w:lineRule="auto"/>
        <w:jc w:val="both"/>
        <w:rPr>
          <w:rFonts w:ascii="Arial" w:eastAsia="Times New Roman" w:hAnsi="Arial" w:cs="Arial"/>
          <w:sz w:val="24"/>
          <w:szCs w:val="24"/>
        </w:rPr>
      </w:pPr>
      <w:r w:rsidRPr="00A448F2">
        <w:rPr>
          <w:rFonts w:ascii="Arial" w:hAnsi="Arial" w:cs="Arial"/>
          <w:sz w:val="24"/>
          <w:szCs w:val="24"/>
        </w:rPr>
        <w:t>Acceso sin obstáculos y oportuno al tratamiento integral, es decir que quien es afectado por una enfermedad catastrófica o ruinosa como el cáncer</w:t>
      </w:r>
      <w:r>
        <w:rPr>
          <w:rFonts w:ascii="Arial" w:hAnsi="Arial" w:cs="Arial"/>
          <w:sz w:val="24"/>
          <w:szCs w:val="24"/>
        </w:rPr>
        <w:t>,</w:t>
      </w:r>
      <w:r w:rsidRPr="00A448F2">
        <w:rPr>
          <w:rFonts w:ascii="Arial" w:hAnsi="Arial" w:cs="Arial"/>
          <w:sz w:val="24"/>
          <w:szCs w:val="24"/>
        </w:rPr>
        <w:t xml:space="preserve"> tiene el derecho a una atención integral en salud que abarque la prestación de todos los servicios y tratamientos que se requieran para su tratamiento y rehabilitación. (Sentencia T-066-12).</w:t>
      </w:r>
    </w:p>
    <w:p w14:paraId="719A0F44" w14:textId="77777777" w:rsidR="00E07365" w:rsidRPr="00A448F2" w:rsidRDefault="00E07365" w:rsidP="00E07365">
      <w:pPr>
        <w:pStyle w:val="Prrafodelista"/>
        <w:shd w:val="clear" w:color="auto" w:fill="FFFFFF"/>
        <w:tabs>
          <w:tab w:val="left" w:pos="284"/>
        </w:tabs>
        <w:spacing w:after="0" w:line="240" w:lineRule="auto"/>
        <w:ind w:left="0"/>
        <w:jc w:val="both"/>
        <w:rPr>
          <w:rFonts w:ascii="Arial" w:eastAsia="Times New Roman" w:hAnsi="Arial" w:cs="Arial"/>
          <w:sz w:val="24"/>
          <w:szCs w:val="24"/>
        </w:rPr>
      </w:pPr>
    </w:p>
    <w:p w14:paraId="3E488FE6" w14:textId="77777777" w:rsidR="00E07365" w:rsidRPr="00A448F2" w:rsidRDefault="00E07365" w:rsidP="00E07365">
      <w:pPr>
        <w:pStyle w:val="Prrafodelista"/>
        <w:numPr>
          <w:ilvl w:val="0"/>
          <w:numId w:val="25"/>
        </w:numPr>
        <w:shd w:val="clear" w:color="auto" w:fill="FFFFFF"/>
        <w:tabs>
          <w:tab w:val="left" w:pos="284"/>
        </w:tabs>
        <w:spacing w:after="0" w:line="240" w:lineRule="auto"/>
        <w:jc w:val="both"/>
        <w:rPr>
          <w:rFonts w:ascii="Arial" w:hAnsi="Arial" w:cs="Arial"/>
          <w:sz w:val="24"/>
          <w:szCs w:val="24"/>
        </w:rPr>
      </w:pPr>
      <w:r w:rsidRPr="00A448F2">
        <w:rPr>
          <w:rFonts w:ascii="Arial" w:hAnsi="Arial" w:cs="Arial"/>
          <w:sz w:val="24"/>
          <w:szCs w:val="24"/>
        </w:rPr>
        <w:t>La integralidad en la atención incluye “</w:t>
      </w:r>
      <w:r w:rsidRPr="00A448F2">
        <w:rPr>
          <w:rFonts w:ascii="Arial" w:hAnsi="Arial" w:cs="Arial"/>
          <w:i/>
          <w:sz w:val="24"/>
          <w:szCs w:val="24"/>
        </w:rPr>
        <w:t>la garantía de recibir los servicios de apoyo social en los componentes psicológico, familiar, laboral y social que requieran los pacientes con cáncer para el restablecimiento de su salud mental.</w:t>
      </w:r>
      <w:r w:rsidRPr="00A448F2">
        <w:rPr>
          <w:rFonts w:ascii="Arial" w:hAnsi="Arial" w:cs="Arial"/>
          <w:sz w:val="24"/>
          <w:szCs w:val="24"/>
        </w:rPr>
        <w:t>”</w:t>
      </w:r>
    </w:p>
    <w:p w14:paraId="00C54F7D" w14:textId="77777777" w:rsidR="00E07365" w:rsidRPr="00A448F2" w:rsidRDefault="00E07365" w:rsidP="00E07365">
      <w:pPr>
        <w:pStyle w:val="Prrafodelista"/>
        <w:shd w:val="clear" w:color="auto" w:fill="FFFFFF"/>
        <w:tabs>
          <w:tab w:val="left" w:pos="284"/>
        </w:tabs>
        <w:spacing w:after="0" w:line="240" w:lineRule="auto"/>
        <w:ind w:left="0"/>
        <w:jc w:val="both"/>
        <w:rPr>
          <w:rFonts w:ascii="Arial" w:hAnsi="Arial" w:cs="Arial"/>
          <w:sz w:val="24"/>
          <w:szCs w:val="24"/>
        </w:rPr>
      </w:pPr>
    </w:p>
    <w:p w14:paraId="2C871539" w14:textId="77777777" w:rsidR="00E07365" w:rsidRPr="00A448F2" w:rsidRDefault="00E07365" w:rsidP="00E07365">
      <w:pPr>
        <w:pStyle w:val="Prrafodelista"/>
        <w:numPr>
          <w:ilvl w:val="0"/>
          <w:numId w:val="25"/>
        </w:numPr>
        <w:shd w:val="clear" w:color="auto" w:fill="FFFFFF"/>
        <w:tabs>
          <w:tab w:val="left" w:pos="284"/>
        </w:tabs>
        <w:spacing w:after="0" w:line="240" w:lineRule="auto"/>
        <w:jc w:val="both"/>
        <w:rPr>
          <w:rFonts w:ascii="Arial" w:eastAsia="Times New Roman" w:hAnsi="Arial" w:cs="Arial"/>
          <w:sz w:val="24"/>
          <w:szCs w:val="24"/>
        </w:rPr>
      </w:pPr>
      <w:r w:rsidRPr="00A448F2">
        <w:rPr>
          <w:rFonts w:ascii="Arial" w:hAnsi="Arial" w:cs="Arial"/>
          <w:sz w:val="24"/>
          <w:szCs w:val="24"/>
        </w:rPr>
        <w:t>Las indicaciones y requerimientos del médico tratante deben ser las que orienten el alcance de la protección constitucional del derecho a la salud de las personas. (Sentencia T-607 de 2016).</w:t>
      </w:r>
    </w:p>
    <w:p w14:paraId="554608FE" w14:textId="77777777" w:rsidR="00E07365" w:rsidRPr="00A448F2" w:rsidRDefault="00E07365" w:rsidP="00E07365">
      <w:pPr>
        <w:pStyle w:val="Prrafodelista"/>
        <w:tabs>
          <w:tab w:val="left" w:pos="284"/>
          <w:tab w:val="left" w:pos="4132"/>
        </w:tabs>
        <w:spacing w:line="240" w:lineRule="auto"/>
        <w:ind w:firstLine="3405"/>
        <w:jc w:val="both"/>
        <w:rPr>
          <w:rFonts w:ascii="Arial" w:eastAsia="Times New Roman" w:hAnsi="Arial" w:cs="Arial"/>
          <w:sz w:val="24"/>
          <w:szCs w:val="24"/>
        </w:rPr>
      </w:pPr>
    </w:p>
    <w:p w14:paraId="7AD3E315" w14:textId="77777777" w:rsidR="00E07365" w:rsidRPr="00A448F2" w:rsidRDefault="00E07365" w:rsidP="00E07365">
      <w:pPr>
        <w:pStyle w:val="Prrafodelista"/>
        <w:numPr>
          <w:ilvl w:val="0"/>
          <w:numId w:val="25"/>
        </w:numPr>
        <w:shd w:val="clear" w:color="auto" w:fill="FFFFFF"/>
        <w:tabs>
          <w:tab w:val="left" w:pos="284"/>
        </w:tabs>
        <w:spacing w:after="0" w:line="240" w:lineRule="auto"/>
        <w:jc w:val="both"/>
        <w:rPr>
          <w:rFonts w:ascii="Arial" w:hAnsi="Arial" w:cs="Arial"/>
          <w:sz w:val="24"/>
          <w:szCs w:val="24"/>
        </w:rPr>
      </w:pPr>
      <w:r w:rsidRPr="00A448F2">
        <w:rPr>
          <w:rFonts w:ascii="Arial" w:eastAsia="Times New Roman" w:hAnsi="Arial" w:cs="Arial"/>
          <w:sz w:val="24"/>
          <w:szCs w:val="24"/>
        </w:rPr>
        <w:t xml:space="preserve">El principio de integralidad entraña la garantía en la continuidad </w:t>
      </w:r>
      <w:r w:rsidRPr="00A448F2">
        <w:rPr>
          <w:rFonts w:ascii="Arial" w:hAnsi="Arial" w:cs="Arial"/>
          <w:sz w:val="24"/>
          <w:szCs w:val="24"/>
        </w:rPr>
        <w:t xml:space="preserve">en la prestación del servicio y evitar al paciente interponer una acción de tutela por cada nuevo servicio que sea prescrito por el médico tratante, es decir que el tratamiento integral debe ser brindado </w:t>
      </w:r>
      <w:r w:rsidRPr="00A448F2">
        <w:rPr>
          <w:rFonts w:ascii="Arial" w:hAnsi="Arial" w:cs="Arial"/>
          <w:i/>
          <w:sz w:val="24"/>
          <w:szCs w:val="24"/>
        </w:rPr>
        <w:t>“de forma ininterrumpida, completa, diligente, oportuna y con calidad”.</w:t>
      </w:r>
      <w:r>
        <w:rPr>
          <w:rFonts w:ascii="Arial" w:hAnsi="Arial" w:cs="Arial"/>
          <w:i/>
          <w:sz w:val="24"/>
          <w:szCs w:val="24"/>
        </w:rPr>
        <w:t xml:space="preserve"> </w:t>
      </w:r>
      <w:r w:rsidRPr="00A448F2">
        <w:rPr>
          <w:rFonts w:ascii="Arial" w:hAnsi="Arial" w:cs="Arial"/>
          <w:sz w:val="24"/>
          <w:szCs w:val="24"/>
        </w:rPr>
        <w:t xml:space="preserve">(Sentencia T-387 de 2018), y señala de manera contundente que: </w:t>
      </w:r>
    </w:p>
    <w:p w14:paraId="2DBB86E1" w14:textId="77777777" w:rsidR="00E07365" w:rsidRPr="00A448F2" w:rsidRDefault="00E07365" w:rsidP="00E07365">
      <w:pPr>
        <w:shd w:val="clear" w:color="auto" w:fill="FFFFFF"/>
        <w:spacing w:after="0" w:line="240" w:lineRule="auto"/>
        <w:contextualSpacing/>
        <w:rPr>
          <w:rFonts w:ascii="Arial" w:hAnsi="Arial" w:cs="Arial"/>
          <w:sz w:val="24"/>
          <w:szCs w:val="24"/>
        </w:rPr>
      </w:pPr>
    </w:p>
    <w:p w14:paraId="57EB04DA" w14:textId="77777777" w:rsidR="00E07365" w:rsidRPr="00A448F2" w:rsidRDefault="00E07365" w:rsidP="00E07365">
      <w:pPr>
        <w:pStyle w:val="NormalWeb"/>
        <w:shd w:val="clear" w:color="auto" w:fill="FFFFFF"/>
        <w:spacing w:before="0" w:beforeAutospacing="0" w:after="0" w:afterAutospacing="0"/>
        <w:contextualSpacing/>
        <w:jc w:val="both"/>
        <w:rPr>
          <w:rFonts w:ascii="Arial" w:hAnsi="Arial" w:cs="Arial"/>
          <w:b/>
          <w:bCs/>
        </w:rPr>
      </w:pPr>
      <w:r w:rsidRPr="00A448F2">
        <w:rPr>
          <w:rFonts w:ascii="Arial" w:hAnsi="Arial" w:cs="Arial"/>
          <w:b/>
          <w:bCs/>
        </w:rPr>
        <w:t>FUNDAMENTOS LEGALES</w:t>
      </w:r>
    </w:p>
    <w:p w14:paraId="6E25F13E" w14:textId="77777777" w:rsidR="00E07365" w:rsidRPr="00A448F2" w:rsidRDefault="00E07365" w:rsidP="00E07365">
      <w:pPr>
        <w:spacing w:after="0" w:line="240" w:lineRule="auto"/>
        <w:contextualSpacing/>
        <w:rPr>
          <w:rFonts w:ascii="Arial" w:hAnsi="Arial" w:cs="Arial"/>
          <w:sz w:val="24"/>
          <w:szCs w:val="24"/>
        </w:rPr>
      </w:pPr>
    </w:p>
    <w:p w14:paraId="40A4C465" w14:textId="77777777" w:rsidR="00E07365" w:rsidRPr="00A448F2" w:rsidRDefault="00E07365" w:rsidP="00E07365">
      <w:pPr>
        <w:spacing w:after="0" w:line="240" w:lineRule="auto"/>
        <w:contextualSpacing/>
        <w:rPr>
          <w:rFonts w:ascii="Arial" w:hAnsi="Arial" w:cs="Arial"/>
          <w:sz w:val="24"/>
          <w:szCs w:val="24"/>
        </w:rPr>
      </w:pPr>
      <w:r w:rsidRPr="00A448F2">
        <w:rPr>
          <w:rFonts w:ascii="Arial" w:hAnsi="Arial" w:cs="Arial"/>
          <w:sz w:val="24"/>
          <w:szCs w:val="24"/>
        </w:rPr>
        <w:t xml:space="preserve">En el ordenamiento jurídico colombiano contamos con un conjunto normativo que tiene por objeto consagrar normas que garantizan el derecho a la salud, entre otras, encontramos las siguientes: La ley estatutaria 1751 de 2015 que desarrolla el derecho fundamental a la Salud en los siguientes términos:  </w:t>
      </w:r>
    </w:p>
    <w:p w14:paraId="0C0F2DB0" w14:textId="77777777" w:rsidR="00E07365" w:rsidRPr="00A448F2" w:rsidRDefault="00E07365" w:rsidP="00E07365">
      <w:pPr>
        <w:spacing w:after="0" w:line="240" w:lineRule="auto"/>
        <w:ind w:left="284" w:right="332"/>
        <w:contextualSpacing/>
        <w:rPr>
          <w:rFonts w:ascii="Arial" w:hAnsi="Arial" w:cs="Arial"/>
          <w:sz w:val="24"/>
          <w:szCs w:val="24"/>
        </w:rPr>
      </w:pPr>
    </w:p>
    <w:p w14:paraId="3D5867FE" w14:textId="77777777" w:rsidR="00E07365" w:rsidRPr="00A448F2" w:rsidRDefault="00E07365" w:rsidP="00E07365">
      <w:pPr>
        <w:spacing w:after="0" w:line="240" w:lineRule="auto"/>
        <w:ind w:left="284" w:right="332"/>
        <w:contextualSpacing/>
        <w:rPr>
          <w:rFonts w:ascii="Arial" w:hAnsi="Arial" w:cs="Arial"/>
          <w:i/>
          <w:sz w:val="24"/>
          <w:szCs w:val="24"/>
        </w:rPr>
      </w:pPr>
      <w:r w:rsidRPr="00A448F2">
        <w:rPr>
          <w:rFonts w:ascii="Arial" w:hAnsi="Arial" w:cs="Arial"/>
          <w:i/>
          <w:sz w:val="24"/>
          <w:szCs w:val="24"/>
        </w:rPr>
        <w:lastRenderedPageBreak/>
        <w:t xml:space="preserve">“Comprende el acceso a los servicios de salud de manera oportuna, eficaz y con calidad para la preservación, el mejoramiento y la promoción de la salud. El Estado adoptará políticas para asegurar la igualdad de trato y oportunidades en el acceso a las actividades de promoción, prevención, diagnóstico, tratamiento, rehabilitación y paliación para todas las personas. De conformidad con el artículo 49 de la Constitución Política, su prestación como servicio público esencial obligatorio, se ejecuta bajo la indelegable dirección, supervisión, organización, regulación, coordinación y control del Estado”. </w:t>
      </w:r>
    </w:p>
    <w:p w14:paraId="039A57D0" w14:textId="77777777" w:rsidR="00E07365" w:rsidRPr="00A448F2" w:rsidRDefault="00E07365" w:rsidP="00E07365">
      <w:pPr>
        <w:spacing w:after="0" w:line="240" w:lineRule="auto"/>
        <w:contextualSpacing/>
        <w:rPr>
          <w:rFonts w:ascii="Arial" w:hAnsi="Arial" w:cs="Arial"/>
          <w:sz w:val="24"/>
          <w:szCs w:val="24"/>
        </w:rPr>
      </w:pPr>
    </w:p>
    <w:p w14:paraId="13B5A4A5" w14:textId="77777777" w:rsidR="00E07365" w:rsidRPr="00A448F2" w:rsidRDefault="00E07365" w:rsidP="00E07365">
      <w:pPr>
        <w:spacing w:after="0" w:line="240" w:lineRule="auto"/>
        <w:contextualSpacing/>
        <w:rPr>
          <w:rFonts w:ascii="Arial" w:hAnsi="Arial" w:cs="Arial"/>
          <w:sz w:val="24"/>
          <w:szCs w:val="24"/>
        </w:rPr>
      </w:pPr>
      <w:r w:rsidRPr="00A448F2">
        <w:rPr>
          <w:rFonts w:ascii="Arial" w:hAnsi="Arial" w:cs="Arial"/>
          <w:sz w:val="24"/>
          <w:szCs w:val="24"/>
        </w:rPr>
        <w:t>La ley 1384 de 2010, “</w:t>
      </w:r>
      <w:r w:rsidRPr="00B50B29">
        <w:rPr>
          <w:rFonts w:ascii="Arial" w:hAnsi="Arial" w:cs="Arial"/>
          <w:i/>
          <w:sz w:val="24"/>
          <w:szCs w:val="24"/>
        </w:rPr>
        <w:t>P</w:t>
      </w:r>
      <w:r w:rsidRPr="00A448F2">
        <w:rPr>
          <w:rFonts w:ascii="Arial" w:hAnsi="Arial" w:cs="Arial"/>
          <w:i/>
          <w:sz w:val="24"/>
          <w:szCs w:val="24"/>
        </w:rPr>
        <w:t>or la cual se establecen las acciones para la atención integral del cáncer en Colombia”,</w:t>
      </w:r>
      <w:r w:rsidRPr="00A448F2">
        <w:rPr>
          <w:rFonts w:ascii="Arial" w:hAnsi="Arial" w:cs="Arial"/>
          <w:sz w:val="24"/>
          <w:szCs w:val="24"/>
        </w:rPr>
        <w:t xml:space="preserve"> conocida como “Ley Sandra Ceballos”, ordena la creación del sistema de información, a través del establecimiento de los registros nacionales de cáncer en adultos, basado en registros poblaciones y registros institucionales; establece el observatorio de cáncer como  parte  del  sistema  de  vigilancia  en salud pública; consagra la necesidad de captar datos de diversas fuentes, así como efectuar las adaptaciones necesarias al actual SIVIGILA para la captura, procesamiento, almacenamiento y consulta de la información.</w:t>
      </w:r>
    </w:p>
    <w:p w14:paraId="3A79F6C7" w14:textId="77777777" w:rsidR="00E07365" w:rsidRPr="00A448F2" w:rsidRDefault="00E07365" w:rsidP="00E07365">
      <w:pPr>
        <w:spacing w:after="0" w:line="240" w:lineRule="auto"/>
        <w:contextualSpacing/>
        <w:rPr>
          <w:rFonts w:ascii="Arial" w:hAnsi="Arial" w:cs="Arial"/>
          <w:sz w:val="24"/>
          <w:szCs w:val="24"/>
        </w:rPr>
      </w:pPr>
    </w:p>
    <w:p w14:paraId="4470489B" w14:textId="0B28432C" w:rsidR="004D30F9" w:rsidRDefault="004D30F9" w:rsidP="004D30F9">
      <w:pPr>
        <w:spacing w:after="0" w:line="240" w:lineRule="auto"/>
        <w:contextualSpacing/>
        <w:rPr>
          <w:rFonts w:ascii="Arial" w:hAnsi="Arial" w:cs="Arial"/>
          <w:sz w:val="24"/>
          <w:szCs w:val="24"/>
        </w:rPr>
      </w:pPr>
      <w:r>
        <w:rPr>
          <w:rFonts w:ascii="Arial" w:hAnsi="Arial" w:cs="Arial"/>
          <w:sz w:val="24"/>
          <w:szCs w:val="24"/>
        </w:rPr>
        <w:t>La l</w:t>
      </w:r>
      <w:r w:rsidRPr="004D30F9">
        <w:rPr>
          <w:rFonts w:ascii="Arial" w:hAnsi="Arial" w:cs="Arial"/>
          <w:sz w:val="24"/>
          <w:szCs w:val="24"/>
        </w:rPr>
        <w:t>ey 1388 de 2010</w:t>
      </w:r>
      <w:r>
        <w:rPr>
          <w:rFonts w:ascii="Arial" w:hAnsi="Arial" w:cs="Arial"/>
          <w:sz w:val="24"/>
          <w:szCs w:val="24"/>
        </w:rPr>
        <w:t xml:space="preserve"> “</w:t>
      </w:r>
      <w:r w:rsidRPr="004D30F9">
        <w:rPr>
          <w:rFonts w:ascii="Arial" w:hAnsi="Arial" w:cs="Arial"/>
          <w:sz w:val="24"/>
          <w:szCs w:val="24"/>
        </w:rPr>
        <w:t>Por el derecho a la vida de los niños con cáncer en Colombia</w:t>
      </w:r>
      <w:r>
        <w:rPr>
          <w:rFonts w:ascii="Arial" w:hAnsi="Arial" w:cs="Arial"/>
          <w:sz w:val="24"/>
          <w:szCs w:val="24"/>
        </w:rPr>
        <w:t>”</w:t>
      </w:r>
      <w:r w:rsidRPr="004D30F9">
        <w:rPr>
          <w:rFonts w:ascii="Arial" w:hAnsi="Arial" w:cs="Arial"/>
          <w:sz w:val="24"/>
          <w:szCs w:val="24"/>
        </w:rPr>
        <w:t>. Define como objeto la disminución significativa de la tasa de mortalidad por cáncer en los niños y personas menores de 18 años. En el Capítulo III: Información, Registro e Investigación. Para el desarrollo de la garantía establecida en el artículo 3° de ésta ley, ordena crear el Registro Nacional de Cáncer Infantil, con el propósito de captar la mayor cantidad posible de datos desde el registro del diagnóstico, seguimiento al acceso al sistema de salud hasta la evolución del tratamiento del paciente.</w:t>
      </w:r>
    </w:p>
    <w:p w14:paraId="4608E98A" w14:textId="77777777" w:rsidR="004D30F9" w:rsidRDefault="004D30F9" w:rsidP="00E07365">
      <w:pPr>
        <w:spacing w:after="0" w:line="240" w:lineRule="auto"/>
        <w:contextualSpacing/>
        <w:rPr>
          <w:rFonts w:ascii="Arial" w:hAnsi="Arial" w:cs="Arial"/>
          <w:sz w:val="24"/>
          <w:szCs w:val="24"/>
        </w:rPr>
      </w:pPr>
    </w:p>
    <w:p w14:paraId="73FD09E8" w14:textId="22A599C5" w:rsidR="00E07365" w:rsidRPr="00A448F2" w:rsidRDefault="00E07365" w:rsidP="00E07365">
      <w:pPr>
        <w:spacing w:after="0" w:line="240" w:lineRule="auto"/>
        <w:contextualSpacing/>
        <w:rPr>
          <w:rFonts w:ascii="Arial" w:hAnsi="Arial" w:cs="Arial"/>
          <w:sz w:val="24"/>
          <w:szCs w:val="24"/>
        </w:rPr>
      </w:pPr>
      <w:r w:rsidRPr="00A448F2">
        <w:rPr>
          <w:rFonts w:ascii="Arial" w:hAnsi="Arial" w:cs="Arial"/>
          <w:sz w:val="24"/>
          <w:szCs w:val="24"/>
        </w:rPr>
        <w:t xml:space="preserve">La Ley 1733 de 2014 </w:t>
      </w:r>
      <w:r w:rsidRPr="00A448F2">
        <w:rPr>
          <w:rFonts w:ascii="Arial" w:hAnsi="Arial" w:cs="Arial"/>
          <w:i/>
          <w:sz w:val="24"/>
          <w:szCs w:val="24"/>
        </w:rPr>
        <w:t xml:space="preserve">“Ley Consuelo Devis Saavedra, mediante la cual se regulan los servicios de cuidados paliativos para el manejo integral de pacientes con enfermedades terminales, crónicas, degenerativas e irreversibles en cualquier fase de la enfermedad de alto impacto en la calidad de vida”, </w:t>
      </w:r>
      <w:r w:rsidRPr="00A448F2">
        <w:rPr>
          <w:rFonts w:ascii="Arial" w:hAnsi="Arial" w:cs="Arial"/>
          <w:sz w:val="24"/>
          <w:szCs w:val="24"/>
        </w:rPr>
        <w:t xml:space="preserve">reglamenta el derecho que tienen las personas con enfermedades en fase terminal, crónicas, degenerativas e irreversibles, a la atención en cuidados paliativos que pretende mejorar la calidad de vida. </w:t>
      </w:r>
    </w:p>
    <w:p w14:paraId="4D71EC69" w14:textId="77777777" w:rsidR="00E07365" w:rsidRPr="00A448F2" w:rsidRDefault="00E07365" w:rsidP="00E07365">
      <w:pPr>
        <w:spacing w:after="0" w:line="240" w:lineRule="auto"/>
        <w:contextualSpacing/>
        <w:rPr>
          <w:rFonts w:ascii="Arial" w:hAnsi="Arial" w:cs="Arial"/>
          <w:sz w:val="24"/>
          <w:szCs w:val="24"/>
        </w:rPr>
      </w:pPr>
    </w:p>
    <w:p w14:paraId="26875DF9" w14:textId="19513556" w:rsidR="00E07365" w:rsidRPr="00A448F2" w:rsidRDefault="00E07365" w:rsidP="00E07365">
      <w:pPr>
        <w:spacing w:after="0" w:line="240" w:lineRule="auto"/>
        <w:contextualSpacing/>
        <w:rPr>
          <w:rFonts w:ascii="Arial" w:hAnsi="Arial" w:cs="Arial"/>
          <w:sz w:val="24"/>
          <w:szCs w:val="24"/>
        </w:rPr>
      </w:pPr>
      <w:r w:rsidRPr="00A448F2">
        <w:rPr>
          <w:rFonts w:ascii="Arial" w:hAnsi="Arial" w:cs="Arial"/>
          <w:sz w:val="24"/>
          <w:szCs w:val="24"/>
        </w:rPr>
        <w:t xml:space="preserve">La Ley 715 de 2001 </w:t>
      </w:r>
      <w:r w:rsidRPr="00A448F2">
        <w:rPr>
          <w:rFonts w:ascii="Arial" w:hAnsi="Arial" w:cs="Arial"/>
          <w:i/>
          <w:sz w:val="24"/>
          <w:szCs w:val="24"/>
        </w:rPr>
        <w:t xml:space="preserve">“por la cual se dictan normas orgánicas en materia de recursos y competencias de conformidad con los artículos 151, 288, 356 y 357 (Acto Legislativo 01 de 2001) de la Constitución Política y se dictan otras disposiciones”, </w:t>
      </w:r>
      <w:r w:rsidRPr="00A448F2">
        <w:rPr>
          <w:rFonts w:ascii="Arial" w:hAnsi="Arial" w:cs="Arial"/>
          <w:sz w:val="24"/>
          <w:szCs w:val="24"/>
        </w:rPr>
        <w:t xml:space="preserve">en el entendido que tal norma le otorga al Ministerio de Salud y Protección Social la tarea de definir, diseñar, reglamentar, implantar y administrar el sistema integral de información en salud y el sistema de vigilancia en salud pública, con la participación de las entidades territoriales. </w:t>
      </w:r>
    </w:p>
    <w:p w14:paraId="322CED87" w14:textId="77777777" w:rsidR="00E07365" w:rsidRPr="00A448F2" w:rsidRDefault="00E07365" w:rsidP="00E07365">
      <w:pPr>
        <w:spacing w:after="0" w:line="240" w:lineRule="auto"/>
        <w:contextualSpacing/>
        <w:rPr>
          <w:rFonts w:ascii="Arial" w:hAnsi="Arial" w:cs="Arial"/>
          <w:sz w:val="24"/>
          <w:szCs w:val="24"/>
        </w:rPr>
      </w:pPr>
    </w:p>
    <w:p w14:paraId="6482ED68" w14:textId="07EF48B1" w:rsidR="00D12807" w:rsidRDefault="00D12807" w:rsidP="00E07365">
      <w:pPr>
        <w:spacing w:after="0" w:line="240" w:lineRule="auto"/>
        <w:contextualSpacing/>
        <w:rPr>
          <w:rFonts w:ascii="Arial" w:hAnsi="Arial" w:cs="Arial"/>
          <w:sz w:val="24"/>
          <w:szCs w:val="24"/>
        </w:rPr>
      </w:pPr>
      <w:r>
        <w:rPr>
          <w:rFonts w:ascii="Arial" w:hAnsi="Arial" w:cs="Arial"/>
          <w:sz w:val="24"/>
          <w:szCs w:val="24"/>
        </w:rPr>
        <w:t>La ley 2026 de 2020 e</w:t>
      </w:r>
      <w:r w:rsidRPr="00D12807">
        <w:rPr>
          <w:rFonts w:ascii="Arial" w:hAnsi="Arial" w:cs="Arial"/>
          <w:sz w:val="24"/>
          <w:szCs w:val="24"/>
        </w:rPr>
        <w:t xml:space="preserve">stablece medidas </w:t>
      </w:r>
      <w:r>
        <w:rPr>
          <w:rFonts w:ascii="Arial" w:hAnsi="Arial" w:cs="Arial"/>
          <w:sz w:val="24"/>
          <w:szCs w:val="24"/>
        </w:rPr>
        <w:t>para hacer</w:t>
      </w:r>
      <w:r w:rsidRPr="00D12807">
        <w:rPr>
          <w:rFonts w:ascii="Arial" w:hAnsi="Arial" w:cs="Arial"/>
          <w:sz w:val="24"/>
          <w:szCs w:val="24"/>
        </w:rPr>
        <w:t xml:space="preserve"> efectiva la protección del derecho fundamental a la salud de los menores de 18 años con diagnóstico o presunción de cáncer, declarar su atención integral como prioritaria, garantizando el acceso efectivo a los servicios de salud oncopediátrica y fortalecer el apoyo social que recibe esta población.</w:t>
      </w:r>
    </w:p>
    <w:p w14:paraId="15F133D4" w14:textId="77777777" w:rsidR="00D12807" w:rsidRDefault="00D12807" w:rsidP="00E07365">
      <w:pPr>
        <w:spacing w:after="0" w:line="240" w:lineRule="auto"/>
        <w:contextualSpacing/>
        <w:rPr>
          <w:rFonts w:ascii="Arial" w:hAnsi="Arial" w:cs="Arial"/>
          <w:sz w:val="24"/>
          <w:szCs w:val="24"/>
        </w:rPr>
      </w:pPr>
    </w:p>
    <w:p w14:paraId="062AE443" w14:textId="3C351791" w:rsidR="00895796" w:rsidRDefault="00895796" w:rsidP="00895796">
      <w:pPr>
        <w:spacing w:after="0" w:line="240" w:lineRule="auto"/>
        <w:contextualSpacing/>
        <w:rPr>
          <w:rFonts w:ascii="Arial" w:hAnsi="Arial" w:cs="Arial"/>
          <w:sz w:val="24"/>
          <w:szCs w:val="24"/>
        </w:rPr>
      </w:pPr>
      <w:r>
        <w:rPr>
          <w:rFonts w:ascii="Arial" w:hAnsi="Arial" w:cs="Arial"/>
          <w:sz w:val="24"/>
          <w:szCs w:val="24"/>
        </w:rPr>
        <w:t xml:space="preserve">De otra parte, mediante el </w:t>
      </w:r>
      <w:r w:rsidRPr="00895796">
        <w:rPr>
          <w:rFonts w:ascii="Arial" w:hAnsi="Arial" w:cs="Arial"/>
          <w:sz w:val="24"/>
          <w:szCs w:val="24"/>
        </w:rPr>
        <w:t>Decreto 5017 de 2009</w:t>
      </w:r>
      <w:r>
        <w:rPr>
          <w:rFonts w:ascii="Arial" w:hAnsi="Arial" w:cs="Arial"/>
          <w:sz w:val="24"/>
          <w:szCs w:val="24"/>
        </w:rPr>
        <w:t xml:space="preserve"> p</w:t>
      </w:r>
      <w:r w:rsidRPr="00895796">
        <w:rPr>
          <w:rFonts w:ascii="Arial" w:hAnsi="Arial" w:cs="Arial"/>
          <w:sz w:val="24"/>
          <w:szCs w:val="24"/>
        </w:rPr>
        <w:t>or el cual se aprueba la modificación de la estructura del Instituto Nacional de Cancerología -INC - Empresa Social del Estado. Art 2 Numeral 6, Obligaciones del INC frente al sistema nacional de información del cáncer. Establece la asesoría y asistencia del INC al Ministerio de Salud y Protección Social, así como a las IPS en el área oncológica que lo requieran y a las demás que se le determinen en el orden nacional y territorial, para implantar y consolidar el Sistema Nacional de Información de Cáncer.</w:t>
      </w:r>
    </w:p>
    <w:p w14:paraId="72EAB4A9" w14:textId="77777777" w:rsidR="00895796" w:rsidRDefault="00895796" w:rsidP="00E07365">
      <w:pPr>
        <w:spacing w:after="0" w:line="240" w:lineRule="auto"/>
        <w:contextualSpacing/>
        <w:rPr>
          <w:rFonts w:ascii="Arial" w:hAnsi="Arial" w:cs="Arial"/>
          <w:sz w:val="24"/>
          <w:szCs w:val="24"/>
        </w:rPr>
      </w:pPr>
    </w:p>
    <w:p w14:paraId="00A1263E" w14:textId="3683A200" w:rsidR="00E07365" w:rsidRPr="00A448F2" w:rsidRDefault="00E07365" w:rsidP="00E07365">
      <w:pPr>
        <w:spacing w:after="0" w:line="240" w:lineRule="auto"/>
        <w:contextualSpacing/>
        <w:rPr>
          <w:rFonts w:ascii="Arial" w:hAnsi="Arial" w:cs="Arial"/>
          <w:sz w:val="24"/>
          <w:szCs w:val="24"/>
        </w:rPr>
      </w:pPr>
      <w:r w:rsidRPr="00A448F2">
        <w:rPr>
          <w:rFonts w:ascii="Arial" w:hAnsi="Arial" w:cs="Arial"/>
          <w:sz w:val="24"/>
          <w:szCs w:val="24"/>
        </w:rPr>
        <w:t>En el marco de las normas reglamentarias encontramos, entre otras, las Resoluciones 4496 de 2012, 2590 de 2012, 4505 de 2012, 1383 de 2013 (Plan Decenal para el Control del Cáncer en Colombia), y 1841 de 2013, encierran un conjunto de arreglos institucionales claves para la organización del sistema nacional de información de cáncer y el observatorio nacional de cáncer en Colombia; del sistema integrado en red y el sistema nacional de información para el monitoreo, seguimiento y control de la atención del cáncer en los menores de 18 años; el registro de las actividades de protección específica, detección temprana y la aplicación de las guías de atención integral para las enfermedades de interés en salud pública de obligatorio cumplimiento.</w:t>
      </w:r>
    </w:p>
    <w:p w14:paraId="4144D5F7" w14:textId="77777777" w:rsidR="00E07365" w:rsidRPr="00A448F2" w:rsidRDefault="00E07365" w:rsidP="00E07365">
      <w:pPr>
        <w:spacing w:after="0" w:line="240" w:lineRule="auto"/>
        <w:contextualSpacing/>
        <w:rPr>
          <w:rFonts w:ascii="Arial" w:hAnsi="Arial" w:cs="Arial"/>
          <w:sz w:val="24"/>
          <w:szCs w:val="24"/>
        </w:rPr>
      </w:pPr>
    </w:p>
    <w:p w14:paraId="184FE823" w14:textId="115D22D7" w:rsidR="0020548B" w:rsidRDefault="0020548B" w:rsidP="00E07365">
      <w:pPr>
        <w:spacing w:after="0" w:line="240" w:lineRule="auto"/>
        <w:contextualSpacing/>
        <w:rPr>
          <w:rFonts w:ascii="Arial" w:hAnsi="Arial" w:cs="Arial"/>
          <w:sz w:val="24"/>
          <w:szCs w:val="24"/>
        </w:rPr>
      </w:pPr>
      <w:r>
        <w:rPr>
          <w:rFonts w:ascii="Arial" w:hAnsi="Arial" w:cs="Arial"/>
          <w:sz w:val="24"/>
          <w:szCs w:val="24"/>
        </w:rPr>
        <w:t>Entre otras resoluciones sobre el cáncer en Colombia tenemos las siguientes:</w:t>
      </w:r>
    </w:p>
    <w:p w14:paraId="49FFBF26" w14:textId="77777777" w:rsidR="0020548B" w:rsidRDefault="0020548B" w:rsidP="00E07365">
      <w:pPr>
        <w:spacing w:after="0" w:line="240" w:lineRule="auto"/>
        <w:contextualSpacing/>
        <w:rPr>
          <w:rFonts w:ascii="Arial" w:hAnsi="Arial" w:cs="Arial"/>
          <w:sz w:val="24"/>
          <w:szCs w:val="24"/>
        </w:rPr>
      </w:pPr>
    </w:p>
    <w:p w14:paraId="08D13C7A" w14:textId="4C894A99" w:rsidR="00E07365" w:rsidRPr="00A448F2" w:rsidRDefault="00E07365" w:rsidP="00E07365">
      <w:pPr>
        <w:spacing w:after="0" w:line="240" w:lineRule="auto"/>
        <w:contextualSpacing/>
        <w:rPr>
          <w:rFonts w:ascii="Arial" w:hAnsi="Arial" w:cs="Arial"/>
          <w:sz w:val="24"/>
          <w:szCs w:val="24"/>
        </w:rPr>
      </w:pPr>
      <w:r w:rsidRPr="00A448F2">
        <w:rPr>
          <w:rFonts w:ascii="Arial" w:hAnsi="Arial" w:cs="Arial"/>
          <w:sz w:val="24"/>
          <w:szCs w:val="24"/>
        </w:rPr>
        <w:t>La resolución 1419 de</w:t>
      </w:r>
      <w:r>
        <w:rPr>
          <w:rFonts w:ascii="Arial" w:hAnsi="Arial" w:cs="Arial"/>
          <w:sz w:val="24"/>
          <w:szCs w:val="24"/>
        </w:rPr>
        <w:t xml:space="preserve"> </w:t>
      </w:r>
      <w:r w:rsidRPr="00A448F2">
        <w:rPr>
          <w:rFonts w:ascii="Arial" w:hAnsi="Arial" w:cs="Arial"/>
          <w:sz w:val="24"/>
          <w:szCs w:val="24"/>
        </w:rPr>
        <w:t xml:space="preserve">2013 “Por la cual se establecen los parámetros y condiciones para la organización y gestión integral de las unidades funcionales para la atención integral del cáncer y los lineamientos para su monitoreo y evaluación”, reglamento que establece las obligaciones para la conformación de la red de prestación de servicios oncológicos y unidades funciones, y fija lineamientos para su monitoreo y evaluación. </w:t>
      </w:r>
    </w:p>
    <w:p w14:paraId="5E09C7CB" w14:textId="77777777" w:rsidR="00E07365" w:rsidRPr="00A448F2" w:rsidRDefault="00E07365" w:rsidP="00E07365">
      <w:pPr>
        <w:spacing w:after="0" w:line="240" w:lineRule="auto"/>
        <w:contextualSpacing/>
        <w:rPr>
          <w:rFonts w:ascii="Arial" w:hAnsi="Arial" w:cs="Arial"/>
          <w:sz w:val="24"/>
          <w:szCs w:val="24"/>
        </w:rPr>
      </w:pPr>
    </w:p>
    <w:p w14:paraId="3842AEC8" w14:textId="77777777" w:rsidR="00E07365" w:rsidRPr="00A448F2" w:rsidRDefault="00E07365" w:rsidP="00E07365">
      <w:pPr>
        <w:spacing w:after="0" w:line="240" w:lineRule="auto"/>
        <w:contextualSpacing/>
        <w:rPr>
          <w:rFonts w:ascii="Arial" w:hAnsi="Arial" w:cs="Arial"/>
          <w:sz w:val="24"/>
          <w:szCs w:val="24"/>
        </w:rPr>
      </w:pPr>
      <w:r w:rsidRPr="00A448F2">
        <w:rPr>
          <w:rFonts w:ascii="Arial" w:hAnsi="Arial" w:cs="Arial"/>
          <w:sz w:val="24"/>
          <w:szCs w:val="24"/>
        </w:rPr>
        <w:t xml:space="preserve">La resolución 1552 de 2013 “Por medio de la cual se reglamenta parcialmente los artículos 123 y 124 del Decreto Ley 019 de 2012 y se dictan otras disposiciones” preceptúa que las Entidades Promotoras de salud EPS de ambos regímenes, directamente o a través de la red que definan, deberán tener agendas abiertas para la asignación de citas de medicina especializada la totalidad de los días hábiles del año. </w:t>
      </w:r>
    </w:p>
    <w:p w14:paraId="457A23E6" w14:textId="171CA036" w:rsidR="00A008D2" w:rsidRDefault="00A008D2" w:rsidP="00A008D2">
      <w:pPr>
        <w:pBdr>
          <w:top w:val="nil"/>
          <w:left w:val="nil"/>
          <w:bottom w:val="nil"/>
          <w:right w:val="nil"/>
          <w:between w:val="nil"/>
        </w:pBdr>
        <w:spacing w:after="0" w:line="240" w:lineRule="auto"/>
        <w:rPr>
          <w:rFonts w:ascii="Arial" w:hAnsi="Arial" w:cs="Arial"/>
          <w:b/>
          <w:color w:val="000000" w:themeColor="text1"/>
          <w:sz w:val="24"/>
          <w:szCs w:val="24"/>
        </w:rPr>
      </w:pPr>
    </w:p>
    <w:p w14:paraId="4C0E47BD" w14:textId="2027BA7D" w:rsidR="0020548B" w:rsidRPr="00EB77E1" w:rsidRDefault="0020548B" w:rsidP="0020548B">
      <w:pPr>
        <w:pBdr>
          <w:top w:val="nil"/>
          <w:left w:val="nil"/>
          <w:bottom w:val="nil"/>
          <w:right w:val="nil"/>
          <w:between w:val="nil"/>
        </w:pBdr>
        <w:spacing w:after="0" w:line="240" w:lineRule="auto"/>
        <w:rPr>
          <w:rFonts w:ascii="Arial" w:hAnsi="Arial" w:cs="Arial"/>
          <w:bCs/>
          <w:color w:val="000000" w:themeColor="text1"/>
          <w:sz w:val="24"/>
          <w:szCs w:val="24"/>
        </w:rPr>
      </w:pPr>
      <w:r w:rsidRPr="00EB77E1">
        <w:rPr>
          <w:rFonts w:ascii="Arial" w:hAnsi="Arial" w:cs="Arial"/>
          <w:bCs/>
          <w:color w:val="000000" w:themeColor="text1"/>
          <w:sz w:val="24"/>
          <w:szCs w:val="24"/>
        </w:rPr>
        <w:lastRenderedPageBreak/>
        <w:t>La resolución 0247 de 2014 “Por la cual se establece el reporte de pacientes con cáncer. Establece la obligación de reportar los pacientes con cáncer a la Cuenta de Alto Costo por parte de las Empresas Administradoras de Planes de Beneficios (EAPB), incluidas las del régimen de excepción, las Instituciones Prestadoras de Servicios de Salud (IPS), públicas, privadas y mixtas y las Direcciones Departamentales, Distritales y Municipales de Salud.”</w:t>
      </w:r>
    </w:p>
    <w:p w14:paraId="10E123DE" w14:textId="77777777" w:rsidR="0020548B" w:rsidRPr="00EB77E1" w:rsidRDefault="0020548B" w:rsidP="0020548B">
      <w:pPr>
        <w:pBdr>
          <w:top w:val="nil"/>
          <w:left w:val="nil"/>
          <w:bottom w:val="nil"/>
          <w:right w:val="nil"/>
          <w:between w:val="nil"/>
        </w:pBdr>
        <w:spacing w:after="0" w:line="240" w:lineRule="auto"/>
        <w:rPr>
          <w:rFonts w:ascii="Arial" w:hAnsi="Arial" w:cs="Arial"/>
          <w:bCs/>
          <w:color w:val="000000" w:themeColor="text1"/>
          <w:sz w:val="24"/>
          <w:szCs w:val="24"/>
        </w:rPr>
      </w:pPr>
    </w:p>
    <w:p w14:paraId="3F50154C" w14:textId="607E9943" w:rsidR="00710340" w:rsidRPr="00EB77E1" w:rsidRDefault="00710340" w:rsidP="00710340">
      <w:pPr>
        <w:pBdr>
          <w:top w:val="nil"/>
          <w:left w:val="nil"/>
          <w:bottom w:val="nil"/>
          <w:right w:val="nil"/>
          <w:between w:val="nil"/>
        </w:pBdr>
        <w:spacing w:after="0" w:line="240" w:lineRule="auto"/>
        <w:rPr>
          <w:rFonts w:ascii="Arial" w:hAnsi="Arial" w:cs="Arial"/>
          <w:bCs/>
          <w:color w:val="000000" w:themeColor="text1"/>
          <w:sz w:val="24"/>
          <w:szCs w:val="24"/>
        </w:rPr>
      </w:pPr>
      <w:r w:rsidRPr="00EB77E1">
        <w:rPr>
          <w:rFonts w:ascii="Arial" w:hAnsi="Arial" w:cs="Arial"/>
          <w:bCs/>
          <w:color w:val="000000" w:themeColor="text1"/>
          <w:sz w:val="24"/>
          <w:szCs w:val="24"/>
        </w:rPr>
        <w:t>La resolución 3202 de 2016 “Por la cual se adopta el Manual Metodológico para la elaboración e implementación de las Rutas Integrales de Atención en Salud — RIAS, se adopta un grupo de Rutas Integrales de Atención en Salud desarrolladas por el Ministerio de Salud y Protección Social dentro de La Política de Atención Integral en Salud —PAIS y se dictan otras disposiciones.”</w:t>
      </w:r>
    </w:p>
    <w:p w14:paraId="60DC66CA" w14:textId="77777777" w:rsidR="00710340" w:rsidRPr="00EB77E1" w:rsidRDefault="00710340" w:rsidP="0020548B">
      <w:pPr>
        <w:pBdr>
          <w:top w:val="nil"/>
          <w:left w:val="nil"/>
          <w:bottom w:val="nil"/>
          <w:right w:val="nil"/>
          <w:between w:val="nil"/>
        </w:pBdr>
        <w:spacing w:after="0" w:line="240" w:lineRule="auto"/>
        <w:rPr>
          <w:rFonts w:ascii="Arial" w:hAnsi="Arial" w:cs="Arial"/>
          <w:bCs/>
          <w:color w:val="000000" w:themeColor="text1"/>
          <w:sz w:val="24"/>
          <w:szCs w:val="24"/>
        </w:rPr>
      </w:pPr>
    </w:p>
    <w:p w14:paraId="27001CF1" w14:textId="36F388EC" w:rsidR="00710340" w:rsidRPr="00EB77E1" w:rsidRDefault="00710340" w:rsidP="00710340">
      <w:pPr>
        <w:pBdr>
          <w:top w:val="nil"/>
          <w:left w:val="nil"/>
          <w:bottom w:val="nil"/>
          <w:right w:val="nil"/>
          <w:between w:val="nil"/>
        </w:pBdr>
        <w:spacing w:after="0" w:line="240" w:lineRule="auto"/>
        <w:rPr>
          <w:rFonts w:ascii="Arial" w:hAnsi="Arial" w:cs="Arial"/>
          <w:bCs/>
          <w:color w:val="000000" w:themeColor="text1"/>
          <w:sz w:val="24"/>
          <w:szCs w:val="24"/>
        </w:rPr>
      </w:pPr>
      <w:r w:rsidRPr="00EB77E1">
        <w:rPr>
          <w:rFonts w:ascii="Arial" w:hAnsi="Arial" w:cs="Arial"/>
          <w:bCs/>
          <w:color w:val="000000" w:themeColor="text1"/>
          <w:sz w:val="24"/>
          <w:szCs w:val="24"/>
        </w:rPr>
        <w:t>La resolución 4504 de 2016 “Por la cual se dictan disposiciones relacionadas con las Unidades de Atención de Cáncer Infantil (UACAI).”</w:t>
      </w:r>
    </w:p>
    <w:p w14:paraId="42F2447E" w14:textId="77777777" w:rsidR="00710340" w:rsidRPr="00EB77E1" w:rsidRDefault="00710340" w:rsidP="0020548B">
      <w:pPr>
        <w:pBdr>
          <w:top w:val="nil"/>
          <w:left w:val="nil"/>
          <w:bottom w:val="nil"/>
          <w:right w:val="nil"/>
          <w:between w:val="nil"/>
        </w:pBdr>
        <w:spacing w:after="0" w:line="240" w:lineRule="auto"/>
        <w:rPr>
          <w:rFonts w:ascii="Arial" w:hAnsi="Arial" w:cs="Arial"/>
          <w:bCs/>
          <w:color w:val="000000" w:themeColor="text1"/>
          <w:sz w:val="24"/>
          <w:szCs w:val="24"/>
        </w:rPr>
      </w:pPr>
    </w:p>
    <w:p w14:paraId="5DC4CA63" w14:textId="769BB64B" w:rsidR="002506FE" w:rsidRPr="00EB77E1" w:rsidRDefault="002506FE" w:rsidP="002506FE">
      <w:pPr>
        <w:pBdr>
          <w:top w:val="nil"/>
          <w:left w:val="nil"/>
          <w:bottom w:val="nil"/>
          <w:right w:val="nil"/>
          <w:between w:val="nil"/>
        </w:pBdr>
        <w:spacing w:after="0" w:line="240" w:lineRule="auto"/>
        <w:rPr>
          <w:rFonts w:ascii="Arial" w:hAnsi="Arial" w:cs="Arial"/>
          <w:bCs/>
          <w:color w:val="000000" w:themeColor="text1"/>
          <w:sz w:val="24"/>
          <w:szCs w:val="24"/>
        </w:rPr>
      </w:pPr>
      <w:r w:rsidRPr="00EB77E1">
        <w:rPr>
          <w:rFonts w:ascii="Arial" w:hAnsi="Arial" w:cs="Arial"/>
          <w:bCs/>
          <w:color w:val="000000" w:themeColor="text1"/>
          <w:sz w:val="24"/>
          <w:szCs w:val="24"/>
        </w:rPr>
        <w:t>La resolución 429 de 2016 “Por medio de la cual se adopta la Política de Atención Integral en Salud.”</w:t>
      </w:r>
    </w:p>
    <w:p w14:paraId="4EAD5B39" w14:textId="77777777" w:rsidR="0065353C" w:rsidRPr="00EB77E1" w:rsidRDefault="0065353C" w:rsidP="002506FE">
      <w:pPr>
        <w:pBdr>
          <w:top w:val="nil"/>
          <w:left w:val="nil"/>
          <w:bottom w:val="nil"/>
          <w:right w:val="nil"/>
          <w:between w:val="nil"/>
        </w:pBdr>
        <w:spacing w:after="0" w:line="240" w:lineRule="auto"/>
        <w:rPr>
          <w:rFonts w:ascii="Arial" w:hAnsi="Arial" w:cs="Arial"/>
          <w:bCs/>
          <w:color w:val="000000" w:themeColor="text1"/>
          <w:sz w:val="24"/>
          <w:szCs w:val="24"/>
        </w:rPr>
      </w:pPr>
    </w:p>
    <w:p w14:paraId="1C782AF1" w14:textId="7CD2152C" w:rsidR="00EB77E1" w:rsidRPr="00EB77E1" w:rsidRDefault="00EB77E1" w:rsidP="00EB77E1">
      <w:pPr>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La r</w:t>
      </w:r>
      <w:r w:rsidRPr="00EB77E1">
        <w:rPr>
          <w:rFonts w:ascii="Arial" w:hAnsi="Arial" w:cs="Arial"/>
          <w:bCs/>
          <w:color w:val="000000" w:themeColor="text1"/>
          <w:sz w:val="24"/>
          <w:szCs w:val="24"/>
        </w:rPr>
        <w:t>esolución 1477 de 2016</w:t>
      </w:r>
      <w:r>
        <w:rPr>
          <w:rFonts w:ascii="Arial" w:hAnsi="Arial" w:cs="Arial"/>
          <w:bCs/>
          <w:color w:val="000000" w:themeColor="text1"/>
          <w:sz w:val="24"/>
          <w:szCs w:val="24"/>
        </w:rPr>
        <w:t>, p</w:t>
      </w:r>
      <w:r w:rsidRPr="00EB77E1">
        <w:rPr>
          <w:rFonts w:ascii="Arial" w:hAnsi="Arial" w:cs="Arial"/>
          <w:bCs/>
          <w:color w:val="000000" w:themeColor="text1"/>
          <w:sz w:val="24"/>
          <w:szCs w:val="24"/>
        </w:rPr>
        <w:t>or la cual se define el procedimiento, los estándares y los criterios para la habilitación de las Unidades Funcionales para la Atención Integral de Cáncer del Adulto "UFCA" y de las Unidades de Atención de Cáncer Infantil "UACAI" y se dictan otras disposiciones.</w:t>
      </w:r>
    </w:p>
    <w:p w14:paraId="3C46AC79" w14:textId="1AC41810" w:rsidR="00710340" w:rsidRPr="00EB77E1" w:rsidRDefault="00710340" w:rsidP="0020548B">
      <w:pPr>
        <w:pBdr>
          <w:top w:val="nil"/>
          <w:left w:val="nil"/>
          <w:bottom w:val="nil"/>
          <w:right w:val="nil"/>
          <w:between w:val="nil"/>
        </w:pBdr>
        <w:spacing w:after="0" w:line="240" w:lineRule="auto"/>
        <w:rPr>
          <w:rFonts w:ascii="Arial" w:hAnsi="Arial" w:cs="Arial"/>
          <w:bCs/>
          <w:color w:val="000000" w:themeColor="text1"/>
          <w:sz w:val="24"/>
          <w:szCs w:val="24"/>
        </w:rPr>
      </w:pPr>
    </w:p>
    <w:p w14:paraId="120D00AE" w14:textId="5C78437B" w:rsidR="00EB77E1" w:rsidRPr="00EB77E1" w:rsidRDefault="00EB77E1" w:rsidP="00EB77E1">
      <w:pPr>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La r</w:t>
      </w:r>
      <w:r w:rsidRPr="00EB77E1">
        <w:rPr>
          <w:rFonts w:ascii="Arial" w:hAnsi="Arial" w:cs="Arial"/>
          <w:bCs/>
          <w:color w:val="000000" w:themeColor="text1"/>
          <w:sz w:val="24"/>
          <w:szCs w:val="24"/>
        </w:rPr>
        <w:t>esolución 1441 de 2016</w:t>
      </w:r>
      <w:r>
        <w:rPr>
          <w:rFonts w:ascii="Arial" w:hAnsi="Arial" w:cs="Arial"/>
          <w:bCs/>
          <w:color w:val="000000" w:themeColor="text1"/>
          <w:sz w:val="24"/>
          <w:szCs w:val="24"/>
        </w:rPr>
        <w:t>, p</w:t>
      </w:r>
      <w:r w:rsidRPr="00EB77E1">
        <w:rPr>
          <w:rFonts w:ascii="Arial" w:hAnsi="Arial" w:cs="Arial"/>
          <w:bCs/>
          <w:color w:val="000000" w:themeColor="text1"/>
          <w:sz w:val="24"/>
          <w:szCs w:val="24"/>
        </w:rPr>
        <w:t>or la cual se establecen los estándares, criterios y procedimientos para la habilitación de las Redes Integrales de Prestadores de Servicios de Salud y se dictan otras disposiciones.</w:t>
      </w:r>
    </w:p>
    <w:p w14:paraId="6FDBE225" w14:textId="16CF89D6" w:rsidR="00EB77E1" w:rsidRPr="00EB77E1" w:rsidRDefault="00EB77E1" w:rsidP="0020548B">
      <w:pPr>
        <w:pBdr>
          <w:top w:val="nil"/>
          <w:left w:val="nil"/>
          <w:bottom w:val="nil"/>
          <w:right w:val="nil"/>
          <w:between w:val="nil"/>
        </w:pBdr>
        <w:spacing w:after="0" w:line="240" w:lineRule="auto"/>
        <w:rPr>
          <w:rFonts w:ascii="Arial" w:hAnsi="Arial" w:cs="Arial"/>
          <w:bCs/>
          <w:color w:val="000000" w:themeColor="text1"/>
          <w:sz w:val="24"/>
          <w:szCs w:val="24"/>
        </w:rPr>
      </w:pPr>
    </w:p>
    <w:p w14:paraId="1767A20B" w14:textId="28C9A494" w:rsidR="00EB77E1" w:rsidRPr="00EB77E1" w:rsidRDefault="00EB77E1" w:rsidP="00EB77E1">
      <w:pPr>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La re</w:t>
      </w:r>
      <w:r w:rsidRPr="00EB77E1">
        <w:rPr>
          <w:rFonts w:ascii="Arial" w:hAnsi="Arial" w:cs="Arial"/>
          <w:bCs/>
          <w:color w:val="000000" w:themeColor="text1"/>
          <w:sz w:val="24"/>
          <w:szCs w:val="24"/>
        </w:rPr>
        <w:t>solución 3280 de 2018​</w:t>
      </w:r>
      <w:r>
        <w:rPr>
          <w:rFonts w:ascii="Arial" w:hAnsi="Arial" w:cs="Arial"/>
          <w:bCs/>
          <w:color w:val="000000" w:themeColor="text1"/>
          <w:sz w:val="24"/>
          <w:szCs w:val="24"/>
        </w:rPr>
        <w:t>, p</w:t>
      </w:r>
      <w:r w:rsidRPr="00EB77E1">
        <w:rPr>
          <w:rFonts w:ascii="Arial" w:hAnsi="Arial" w:cs="Arial"/>
          <w:bCs/>
          <w:color w:val="000000" w:themeColor="text1"/>
          <w:sz w:val="24"/>
          <w:szCs w:val="24"/>
        </w:rPr>
        <w:t>or medio de la cual se adoptan los lineamientos técnicos y operativos de la Ruta Integral de Atención para la Promoción y Mantenimiento de la Salud y la Ruta Integral de Atención en Salud para la Población Materno Perinatal y se establecen las directrices para su operación​.</w:t>
      </w:r>
    </w:p>
    <w:p w14:paraId="32E78593" w14:textId="1221C4FB" w:rsidR="00EB77E1" w:rsidRPr="00EB77E1" w:rsidRDefault="00EB77E1" w:rsidP="0020548B">
      <w:pPr>
        <w:pBdr>
          <w:top w:val="nil"/>
          <w:left w:val="nil"/>
          <w:bottom w:val="nil"/>
          <w:right w:val="nil"/>
          <w:between w:val="nil"/>
        </w:pBdr>
        <w:spacing w:after="0" w:line="240" w:lineRule="auto"/>
        <w:rPr>
          <w:rFonts w:ascii="Arial" w:hAnsi="Arial" w:cs="Arial"/>
          <w:bCs/>
          <w:color w:val="000000" w:themeColor="text1"/>
          <w:sz w:val="24"/>
          <w:szCs w:val="24"/>
        </w:rPr>
      </w:pPr>
    </w:p>
    <w:p w14:paraId="4AA60086" w14:textId="4384E182" w:rsidR="00EB77E1" w:rsidRPr="00EB77E1" w:rsidRDefault="00EB77E1" w:rsidP="00EB77E1">
      <w:pPr>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La r</w:t>
      </w:r>
      <w:r w:rsidRPr="00EB77E1">
        <w:rPr>
          <w:rFonts w:ascii="Arial" w:hAnsi="Arial" w:cs="Arial"/>
          <w:bCs/>
          <w:color w:val="000000" w:themeColor="text1"/>
          <w:sz w:val="24"/>
          <w:szCs w:val="24"/>
        </w:rPr>
        <w:t>esolución 2626 de 2019</w:t>
      </w:r>
      <w:r>
        <w:rPr>
          <w:rFonts w:ascii="Arial" w:hAnsi="Arial" w:cs="Arial"/>
          <w:bCs/>
          <w:color w:val="000000" w:themeColor="text1"/>
          <w:sz w:val="24"/>
          <w:szCs w:val="24"/>
        </w:rPr>
        <w:t>, p</w:t>
      </w:r>
      <w:r w:rsidRPr="00EB77E1">
        <w:rPr>
          <w:rFonts w:ascii="Arial" w:hAnsi="Arial" w:cs="Arial"/>
          <w:bCs/>
          <w:color w:val="000000" w:themeColor="text1"/>
          <w:sz w:val="24"/>
          <w:szCs w:val="24"/>
        </w:rPr>
        <w:t>or la cual se modifica la Política de Atención Integral en Salud -PAIS y se adopta el Modelo de Acción Integral Territorial-MAITE​.</w:t>
      </w:r>
    </w:p>
    <w:p w14:paraId="348E7E4B" w14:textId="0CADA3B9" w:rsidR="00EB77E1" w:rsidRPr="00EB77E1" w:rsidRDefault="00EB77E1" w:rsidP="0020548B">
      <w:pPr>
        <w:pBdr>
          <w:top w:val="nil"/>
          <w:left w:val="nil"/>
          <w:bottom w:val="nil"/>
          <w:right w:val="nil"/>
          <w:between w:val="nil"/>
        </w:pBdr>
        <w:spacing w:after="0" w:line="240" w:lineRule="auto"/>
        <w:rPr>
          <w:rFonts w:ascii="Arial" w:hAnsi="Arial" w:cs="Arial"/>
          <w:bCs/>
          <w:color w:val="000000" w:themeColor="text1"/>
          <w:sz w:val="24"/>
          <w:szCs w:val="24"/>
        </w:rPr>
      </w:pPr>
    </w:p>
    <w:p w14:paraId="2677102D" w14:textId="3A3F2504" w:rsidR="00EB77E1" w:rsidRPr="00EB77E1" w:rsidRDefault="00EB77E1" w:rsidP="00EB77E1">
      <w:pPr>
        <w:spacing w:after="0" w:line="240" w:lineRule="auto"/>
        <w:rPr>
          <w:rFonts w:ascii="Arial" w:hAnsi="Arial" w:cs="Arial"/>
          <w:bCs/>
          <w:color w:val="000000" w:themeColor="text1"/>
          <w:sz w:val="24"/>
          <w:szCs w:val="24"/>
        </w:rPr>
      </w:pPr>
      <w:r w:rsidRPr="00EB77E1">
        <w:rPr>
          <w:rFonts w:ascii="Arial" w:hAnsi="Arial" w:cs="Arial"/>
          <w:bCs/>
          <w:color w:val="000000" w:themeColor="text1"/>
          <w:sz w:val="24"/>
          <w:szCs w:val="24"/>
        </w:rPr>
        <w:t xml:space="preserve">La resolución 3339 de 2019 “Por la cual se establece e Implementa el mecanismo de </w:t>
      </w:r>
      <w:r w:rsidR="003E1775" w:rsidRPr="00EB77E1">
        <w:rPr>
          <w:rFonts w:ascii="Arial" w:hAnsi="Arial" w:cs="Arial"/>
          <w:bCs/>
          <w:color w:val="000000" w:themeColor="text1"/>
          <w:sz w:val="24"/>
          <w:szCs w:val="24"/>
        </w:rPr>
        <w:t>cálculo</w:t>
      </w:r>
      <w:r w:rsidRPr="00EB77E1">
        <w:rPr>
          <w:rFonts w:ascii="Arial" w:hAnsi="Arial" w:cs="Arial"/>
          <w:bCs/>
          <w:color w:val="000000" w:themeColor="text1"/>
          <w:sz w:val="24"/>
          <w:szCs w:val="24"/>
        </w:rPr>
        <w:t xml:space="preserve"> y </w:t>
      </w:r>
      <w:r w:rsidR="003E1775" w:rsidRPr="00EB77E1">
        <w:rPr>
          <w:rFonts w:ascii="Arial" w:hAnsi="Arial" w:cs="Arial"/>
          <w:bCs/>
          <w:color w:val="000000" w:themeColor="text1"/>
          <w:sz w:val="24"/>
          <w:szCs w:val="24"/>
        </w:rPr>
        <w:t>distribución</w:t>
      </w:r>
      <w:r w:rsidRPr="00EB77E1">
        <w:rPr>
          <w:rFonts w:ascii="Arial" w:hAnsi="Arial" w:cs="Arial"/>
          <w:bCs/>
          <w:color w:val="000000" w:themeColor="text1"/>
          <w:sz w:val="24"/>
          <w:szCs w:val="24"/>
        </w:rPr>
        <w:t xml:space="preserve"> de los recursos de la UPC para las Empresas Promotoras de Salud - EPS de los </w:t>
      </w:r>
      <w:r w:rsidR="003E1775" w:rsidRPr="00EB77E1">
        <w:rPr>
          <w:rFonts w:ascii="Arial" w:hAnsi="Arial" w:cs="Arial"/>
          <w:bCs/>
          <w:color w:val="000000" w:themeColor="text1"/>
          <w:sz w:val="24"/>
          <w:szCs w:val="24"/>
        </w:rPr>
        <w:t>Regímenes</w:t>
      </w:r>
      <w:r w:rsidRPr="00EB77E1">
        <w:rPr>
          <w:rFonts w:ascii="Arial" w:hAnsi="Arial" w:cs="Arial"/>
          <w:bCs/>
          <w:color w:val="000000" w:themeColor="text1"/>
          <w:sz w:val="24"/>
          <w:szCs w:val="24"/>
        </w:rPr>
        <w:t xml:space="preserve"> Contributivo y Subsidiado y demás Entidades Obligadas a Compensar - ECO, para los cánceres priorizados”.​</w:t>
      </w:r>
    </w:p>
    <w:p w14:paraId="56983BBA" w14:textId="77777777" w:rsidR="00ED19EB" w:rsidRDefault="00ED19EB" w:rsidP="00111B27">
      <w:pPr>
        <w:pBdr>
          <w:top w:val="nil"/>
          <w:left w:val="nil"/>
          <w:bottom w:val="nil"/>
          <w:right w:val="nil"/>
          <w:between w:val="nil"/>
        </w:pBdr>
        <w:spacing w:after="0" w:line="240" w:lineRule="auto"/>
        <w:ind w:left="720"/>
        <w:rPr>
          <w:rFonts w:ascii="Arial" w:hAnsi="Arial" w:cs="Arial"/>
          <w:b/>
          <w:color w:val="000000" w:themeColor="text1"/>
          <w:sz w:val="24"/>
          <w:szCs w:val="24"/>
        </w:rPr>
      </w:pPr>
    </w:p>
    <w:p w14:paraId="4E2C3646" w14:textId="3ACE7EB5" w:rsidR="007B02C4" w:rsidRPr="00111B27" w:rsidRDefault="007B02C4" w:rsidP="00111B27">
      <w:pPr>
        <w:numPr>
          <w:ilvl w:val="0"/>
          <w:numId w:val="6"/>
        </w:numPr>
        <w:pBdr>
          <w:top w:val="nil"/>
          <w:left w:val="nil"/>
          <w:bottom w:val="nil"/>
          <w:right w:val="nil"/>
          <w:between w:val="nil"/>
        </w:pBdr>
        <w:spacing w:after="0" w:line="240" w:lineRule="auto"/>
        <w:rPr>
          <w:rFonts w:ascii="Arial" w:hAnsi="Arial" w:cs="Arial"/>
          <w:b/>
          <w:color w:val="000000" w:themeColor="text1"/>
          <w:sz w:val="24"/>
          <w:szCs w:val="24"/>
        </w:rPr>
      </w:pPr>
      <w:r w:rsidRPr="00111B27">
        <w:rPr>
          <w:rFonts w:ascii="Arial" w:hAnsi="Arial" w:cs="Arial"/>
          <w:b/>
          <w:color w:val="000000" w:themeColor="text1"/>
          <w:sz w:val="24"/>
          <w:szCs w:val="24"/>
        </w:rPr>
        <w:t>ALCANCE Y CONTENIDO DEL PROYECTO</w:t>
      </w:r>
    </w:p>
    <w:p w14:paraId="48C4983F" w14:textId="0658BE38" w:rsidR="00105DA3" w:rsidRPr="00A81AAC" w:rsidRDefault="00105DA3" w:rsidP="0046720B">
      <w:pPr>
        <w:spacing w:after="0" w:line="240" w:lineRule="auto"/>
        <w:ind w:left="-2" w:hanging="2"/>
        <w:rPr>
          <w:rFonts w:ascii="Arial" w:eastAsia="Times New Roman" w:hAnsi="Arial" w:cs="Arial"/>
          <w:color w:val="000000"/>
          <w:sz w:val="24"/>
          <w:szCs w:val="24"/>
        </w:rPr>
      </w:pPr>
    </w:p>
    <w:p w14:paraId="681C85E8" w14:textId="29BF8407" w:rsidR="00081537" w:rsidRDefault="00EB5959" w:rsidP="00A31BD2">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lastRenderedPageBreak/>
        <w:t>INCIDENCIA DE CANCER EN COLOMBIA</w:t>
      </w:r>
    </w:p>
    <w:p w14:paraId="3338D97C" w14:textId="26FC34D4" w:rsidR="00EB5959" w:rsidRPr="00D55151" w:rsidRDefault="00EB5959" w:rsidP="00D55151">
      <w:pPr>
        <w:spacing w:after="0" w:line="240" w:lineRule="auto"/>
        <w:rPr>
          <w:rFonts w:ascii="Arial" w:hAnsi="Arial" w:cs="Arial"/>
          <w:b/>
          <w:color w:val="000000" w:themeColor="text1"/>
          <w:sz w:val="24"/>
          <w:szCs w:val="24"/>
        </w:rPr>
      </w:pPr>
    </w:p>
    <w:p w14:paraId="1F64554F" w14:textId="77777777" w:rsidR="00D55151" w:rsidRPr="00D55151" w:rsidRDefault="00D55151" w:rsidP="00D55151">
      <w:pPr>
        <w:spacing w:after="0" w:line="240" w:lineRule="auto"/>
        <w:rPr>
          <w:rFonts w:ascii="Arial" w:hAnsi="Arial" w:cs="Arial"/>
          <w:sz w:val="24"/>
          <w:szCs w:val="24"/>
        </w:rPr>
      </w:pPr>
      <w:r w:rsidRPr="00D55151">
        <w:rPr>
          <w:rFonts w:ascii="Arial" w:hAnsi="Arial" w:cs="Arial"/>
          <w:sz w:val="24"/>
          <w:szCs w:val="24"/>
        </w:rPr>
        <w:t>Los datos más recientes sobre el cáncer en Colombia presentados por la Cuenta de Alto Costo</w:t>
      </w:r>
      <w:r w:rsidRPr="00D55151">
        <w:rPr>
          <w:rStyle w:val="Refdenotaalpie"/>
          <w:rFonts w:ascii="Arial" w:hAnsi="Arial" w:cs="Arial"/>
          <w:i/>
          <w:iCs/>
          <w:sz w:val="24"/>
          <w:szCs w:val="24"/>
        </w:rPr>
        <w:footnoteReference w:id="1"/>
      </w:r>
      <w:r w:rsidRPr="00D55151">
        <w:rPr>
          <w:rFonts w:ascii="Arial" w:hAnsi="Arial" w:cs="Arial"/>
          <w:sz w:val="24"/>
          <w:szCs w:val="24"/>
        </w:rPr>
        <w:t xml:space="preserve"> para el periodo de 2020 evidencian el incremento del número de pacientes con cáncer en el territorio nacional. La prevalencia nacional del cáncer invasivo en el año 2020 tuvo un incremento notorio, siendo este cambio estadísticamente significativo en comparación con el 2019. También, la proporción de casos nuevos reportados en 2020 (82,37) aumentó respecto a 2019 (55,42) como la mortalidad.</w:t>
      </w:r>
    </w:p>
    <w:p w14:paraId="67297B6F" w14:textId="77777777" w:rsidR="00D55151" w:rsidRPr="00D55151" w:rsidRDefault="00D55151" w:rsidP="00D55151">
      <w:pPr>
        <w:spacing w:after="0" w:line="240" w:lineRule="auto"/>
        <w:jc w:val="center"/>
        <w:rPr>
          <w:rFonts w:ascii="Arial" w:hAnsi="Arial" w:cs="Arial"/>
          <w:sz w:val="24"/>
          <w:szCs w:val="24"/>
        </w:rPr>
      </w:pPr>
      <w:r w:rsidRPr="00D55151">
        <w:rPr>
          <w:rFonts w:ascii="Arial" w:hAnsi="Arial" w:cs="Arial"/>
          <w:noProof/>
          <w:sz w:val="24"/>
          <w:szCs w:val="24"/>
        </w:rPr>
        <mc:AlternateContent>
          <mc:Choice Requires="wps">
            <w:drawing>
              <wp:anchor distT="0" distB="0" distL="114300" distR="114300" simplePos="0" relativeHeight="251683840" behindDoc="0" locked="0" layoutInCell="1" allowOverlap="1" wp14:anchorId="66AEC411" wp14:editId="59A4B0A4">
                <wp:simplePos x="0" y="0"/>
                <wp:positionH relativeFrom="column">
                  <wp:posOffset>-963237</wp:posOffset>
                </wp:positionH>
                <wp:positionV relativeFrom="paragraph">
                  <wp:posOffset>1098669</wp:posOffset>
                </wp:positionV>
                <wp:extent cx="2041452" cy="233917"/>
                <wp:effectExtent l="1905" t="0" r="5715" b="5715"/>
                <wp:wrapNone/>
                <wp:docPr id="1" name="Cuadro de texto 1"/>
                <wp:cNvGraphicFramePr/>
                <a:graphic xmlns:a="http://schemas.openxmlformats.org/drawingml/2006/main">
                  <a:graphicData uri="http://schemas.microsoft.com/office/word/2010/wordprocessingShape">
                    <wps:wsp>
                      <wps:cNvSpPr txBox="1"/>
                      <wps:spPr>
                        <a:xfrm rot="16200000">
                          <a:off x="0" y="0"/>
                          <a:ext cx="2041452" cy="233917"/>
                        </a:xfrm>
                        <a:prstGeom prst="rect">
                          <a:avLst/>
                        </a:prstGeom>
                        <a:solidFill>
                          <a:schemeClr val="lt1"/>
                        </a:solidFill>
                        <a:ln w="6350">
                          <a:noFill/>
                        </a:ln>
                      </wps:spPr>
                      <wps:txbx>
                        <w:txbxContent>
                          <w:p w14:paraId="1F90B3CE" w14:textId="77777777" w:rsidR="00D55151" w:rsidRPr="005F05F1" w:rsidRDefault="00D55151" w:rsidP="00D55151">
                            <w:pPr>
                              <w:jc w:val="center"/>
                              <w:rPr>
                                <w:rFonts w:ascii="Arial" w:hAnsi="Arial" w:cs="Arial"/>
                                <w:sz w:val="21"/>
                                <w:szCs w:val="21"/>
                                <w:lang w:val="es-ES"/>
                              </w:rPr>
                            </w:pPr>
                            <w:r w:rsidRPr="005F05F1">
                              <w:rPr>
                                <w:rFonts w:ascii="Arial" w:hAnsi="Arial" w:cs="Arial"/>
                                <w:sz w:val="21"/>
                                <w:szCs w:val="21"/>
                                <w:lang w:val="es-ES"/>
                              </w:rPr>
                              <w:t>Casos por 100.000 habitantes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66AEC411" id="_x0000_t202" coordsize="21600,21600" o:spt="202" path="m,l,21600r21600,l21600,xe">
                <v:stroke joinstyle="miter"/>
                <v:path gradientshapeok="t" o:connecttype="rect"/>
              </v:shapetype>
              <v:shape id="Cuadro de texto 1" o:spid="_x0000_s1026" type="#_x0000_t202" style="position:absolute;left:0;text-align:left;margin-left:-75.85pt;margin-top:86.5pt;width:160.75pt;height:18.4pt;rotation:-90;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" fillcolor="white [3201]" stroked="f" strokeweight=".5pt">
                <v:textbox>
                  <w:txbxContent>
                    <w:p w14:paraId="1F90B3CE" w14:textId="77777777" w:rsidR="00D55151" w:rsidRPr="005F05F1" w:rsidRDefault="00D55151" w:rsidP="00D55151">
                      <w:pPr>
                        <w:jc w:val="center"/>
                        <w:rPr>
                          <w:rFonts w:ascii="Arial" w:hAnsi="Arial" w:cs="Arial"/>
                          <w:sz w:val="21"/>
                          <w:szCs w:val="21"/>
                          <w:lang w:val="es-ES"/>
                        </w:rPr>
                      </w:pPr>
                      <w:r w:rsidRPr="005F05F1">
                        <w:rPr>
                          <w:rFonts w:ascii="Arial" w:hAnsi="Arial" w:cs="Arial"/>
                          <w:sz w:val="21"/>
                          <w:szCs w:val="21"/>
                          <w:lang w:val="es-ES"/>
                        </w:rPr>
                        <w:t>Casos por 100.000 habitantes</w:t>
                      </w:r>
                    </w:p>
                  </w:txbxContent>
                </v:textbox>
              </v:shape>
            </w:pict>
          </mc:Fallback>
        </mc:AlternateContent>
      </w:r>
      <w:r w:rsidRPr="00D55151">
        <w:rPr>
          <w:rFonts w:ascii="Arial" w:hAnsi="Arial" w:cs="Arial"/>
          <w:noProof/>
          <w:sz w:val="24"/>
          <w:szCs w:val="24"/>
        </w:rPr>
        <w:drawing>
          <wp:inline distT="0" distB="0" distL="0" distR="0" wp14:anchorId="1E197612" wp14:editId="0AFCD032">
            <wp:extent cx="4733925" cy="1981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7132F5" w14:textId="77777777" w:rsidR="00D55151" w:rsidRPr="00093A86" w:rsidRDefault="00D55151" w:rsidP="00D55151">
      <w:pPr>
        <w:spacing w:after="0" w:line="240" w:lineRule="auto"/>
        <w:rPr>
          <w:rFonts w:ascii="Arial" w:hAnsi="Arial" w:cs="Arial"/>
          <w:i/>
          <w:iCs/>
          <w:sz w:val="20"/>
          <w:szCs w:val="20"/>
        </w:rPr>
      </w:pPr>
      <w:r w:rsidRPr="00093A86">
        <w:rPr>
          <w:rFonts w:ascii="Arial" w:hAnsi="Arial" w:cs="Arial"/>
          <w:i/>
          <w:iCs/>
          <w:sz w:val="20"/>
          <w:szCs w:val="20"/>
        </w:rPr>
        <w:t>Fuente: Cuenta de Alto Costo (2021)</w:t>
      </w:r>
    </w:p>
    <w:p w14:paraId="3ABCAE7B" w14:textId="77777777" w:rsidR="00D55151" w:rsidRPr="00D55151" w:rsidRDefault="00D55151" w:rsidP="00D55151">
      <w:pPr>
        <w:spacing w:after="0" w:line="240" w:lineRule="auto"/>
        <w:rPr>
          <w:rFonts w:ascii="Arial" w:hAnsi="Arial" w:cs="Arial"/>
          <w:i/>
          <w:iCs/>
          <w:sz w:val="24"/>
          <w:szCs w:val="24"/>
        </w:rPr>
      </w:pPr>
    </w:p>
    <w:p w14:paraId="737E777A" w14:textId="77777777" w:rsidR="00D55151" w:rsidRPr="00D55151" w:rsidRDefault="00D55151" w:rsidP="00D55151">
      <w:pPr>
        <w:spacing w:after="0" w:line="240" w:lineRule="auto"/>
        <w:rPr>
          <w:rFonts w:ascii="Arial" w:hAnsi="Arial" w:cs="Arial"/>
          <w:sz w:val="24"/>
          <w:szCs w:val="24"/>
        </w:rPr>
      </w:pPr>
      <w:r w:rsidRPr="00D55151">
        <w:rPr>
          <w:rFonts w:ascii="Arial" w:hAnsi="Arial" w:cs="Arial"/>
          <w:sz w:val="24"/>
          <w:szCs w:val="24"/>
        </w:rPr>
        <w:t>Según la Cuenta de Alto Costo</w:t>
      </w:r>
      <w:r w:rsidRPr="00D55151">
        <w:rPr>
          <w:rStyle w:val="Refdenotaalpie"/>
          <w:rFonts w:ascii="Arial" w:hAnsi="Arial" w:cs="Arial"/>
          <w:sz w:val="24"/>
          <w:szCs w:val="24"/>
        </w:rPr>
        <w:footnoteReference w:id="2"/>
      </w:r>
      <w:r w:rsidRPr="00D55151">
        <w:rPr>
          <w:rFonts w:ascii="Arial" w:hAnsi="Arial" w:cs="Arial"/>
          <w:sz w:val="24"/>
          <w:szCs w:val="24"/>
        </w:rPr>
        <w:t>, para 2020 en Colombia había 347.745 personas con Cáncer de la cuales 331.021 presentaban casos de cáncer invasivo. Por su parte, el número de casos nuevos reportados (CNR) ascendió a 42.893, de los cuales el 95% (40.689) fueron invasivos. La tasa de mortalidad para este periodo correspondió a 53,25 por cada 100.000 habitantes, una cifra que se destaca respecto al promedio entre 2017 y 2019 que se mantuvo en 37.04 por cada 100.00 habitantes</w:t>
      </w:r>
      <w:r w:rsidRPr="00D55151">
        <w:rPr>
          <w:rStyle w:val="Refdenotaalpie"/>
          <w:rFonts w:ascii="Arial" w:hAnsi="Arial" w:cs="Arial"/>
          <w:sz w:val="24"/>
          <w:szCs w:val="24"/>
        </w:rPr>
        <w:footnoteReference w:id="3"/>
      </w:r>
      <w:r w:rsidRPr="00D55151">
        <w:rPr>
          <w:rFonts w:ascii="Arial" w:hAnsi="Arial" w:cs="Arial"/>
          <w:sz w:val="24"/>
          <w:szCs w:val="24"/>
        </w:rPr>
        <w:t xml:space="preserve">. </w:t>
      </w:r>
    </w:p>
    <w:p w14:paraId="55BA7882" w14:textId="77777777" w:rsidR="00D55151" w:rsidRPr="00D55151" w:rsidRDefault="00D55151" w:rsidP="00D55151">
      <w:pPr>
        <w:spacing w:after="0" w:line="240" w:lineRule="auto"/>
        <w:rPr>
          <w:rFonts w:ascii="Arial" w:hAnsi="Arial" w:cs="Arial"/>
          <w:sz w:val="24"/>
          <w:szCs w:val="24"/>
        </w:rPr>
      </w:pPr>
    </w:p>
    <w:p w14:paraId="6DADF05C" w14:textId="77777777" w:rsidR="00D55151" w:rsidRPr="00D55151" w:rsidRDefault="00D55151" w:rsidP="00D55151">
      <w:pPr>
        <w:spacing w:after="0" w:line="240" w:lineRule="auto"/>
        <w:rPr>
          <w:rFonts w:ascii="Arial" w:hAnsi="Arial" w:cs="Arial"/>
          <w:sz w:val="24"/>
          <w:szCs w:val="24"/>
        </w:rPr>
      </w:pPr>
      <w:r w:rsidRPr="00D55151">
        <w:rPr>
          <w:rFonts w:ascii="Arial" w:hAnsi="Arial" w:cs="Arial"/>
          <w:sz w:val="24"/>
          <w:szCs w:val="24"/>
        </w:rPr>
        <w:t>Durante este año, los departamentos donde hubo un aumento significativo de la prevalencia respecto al nivel nacional fueron Antioquia, Caldas, Risaralda, Bogotá, Tolima, Huila y Caquetá, mientras que los demás departamentos del país registraron una disminución significativa. En cuanto a los casos registrados en 2019, el 59,9% de los casos se diagnosticó en mujeres entre los 45 y los 59 años. En hombres, los diagnósticos de la enfermedad fueron más comunes entre los 65 y los 69 años</w:t>
      </w:r>
      <w:r w:rsidRPr="00D55151">
        <w:rPr>
          <w:rStyle w:val="Refdenotaalpie"/>
          <w:rFonts w:ascii="Arial" w:hAnsi="Arial" w:cs="Arial"/>
          <w:sz w:val="24"/>
          <w:szCs w:val="24"/>
        </w:rPr>
        <w:footnoteReference w:id="4"/>
      </w:r>
      <w:r w:rsidRPr="00D55151">
        <w:rPr>
          <w:rFonts w:ascii="Arial" w:hAnsi="Arial" w:cs="Arial"/>
          <w:sz w:val="24"/>
          <w:szCs w:val="24"/>
        </w:rPr>
        <w:t xml:space="preserve">. </w:t>
      </w:r>
    </w:p>
    <w:p w14:paraId="44EAF128" w14:textId="77777777" w:rsidR="00D55151" w:rsidRPr="00D55151" w:rsidRDefault="00D55151" w:rsidP="00D55151">
      <w:pPr>
        <w:spacing w:after="0" w:line="240" w:lineRule="auto"/>
        <w:rPr>
          <w:rFonts w:ascii="Arial" w:hAnsi="Arial" w:cs="Arial"/>
          <w:sz w:val="24"/>
          <w:szCs w:val="24"/>
        </w:rPr>
      </w:pPr>
    </w:p>
    <w:p w14:paraId="04326F91" w14:textId="2604EAB3" w:rsidR="00D55151" w:rsidRPr="00D55151" w:rsidRDefault="00D55151" w:rsidP="00D55151">
      <w:pPr>
        <w:spacing w:after="0" w:line="240" w:lineRule="auto"/>
        <w:rPr>
          <w:rFonts w:ascii="Arial" w:hAnsi="Arial" w:cs="Arial"/>
          <w:sz w:val="24"/>
          <w:szCs w:val="24"/>
        </w:rPr>
      </w:pPr>
      <w:r w:rsidRPr="00D55151">
        <w:rPr>
          <w:rFonts w:ascii="Arial" w:hAnsi="Arial" w:cs="Arial"/>
          <w:sz w:val="24"/>
          <w:szCs w:val="24"/>
        </w:rPr>
        <w:lastRenderedPageBreak/>
        <w:t xml:space="preserve">La siguiente gráfica presentada en el informe de la Cuenta de Alto Costo, permite evidenciar la distribución de los cánceres diagnosticados en Colombia, por régimen en salud al que pertenece. </w:t>
      </w:r>
    </w:p>
    <w:p w14:paraId="1DEEAD99" w14:textId="77777777" w:rsidR="00D55151" w:rsidRPr="00D55151" w:rsidRDefault="00D55151" w:rsidP="00D55151">
      <w:pPr>
        <w:spacing w:after="0" w:line="240" w:lineRule="auto"/>
        <w:rPr>
          <w:rFonts w:ascii="Arial" w:hAnsi="Arial" w:cs="Arial"/>
          <w:sz w:val="24"/>
          <w:szCs w:val="24"/>
        </w:rPr>
      </w:pPr>
    </w:p>
    <w:p w14:paraId="68868897" w14:textId="77777777" w:rsidR="00D55151" w:rsidRPr="00D55151" w:rsidRDefault="00D55151" w:rsidP="00D55151">
      <w:pPr>
        <w:spacing w:after="0" w:line="240" w:lineRule="auto"/>
        <w:jc w:val="center"/>
        <w:rPr>
          <w:rFonts w:ascii="Arial" w:hAnsi="Arial" w:cs="Arial"/>
          <w:b/>
          <w:bCs/>
          <w:sz w:val="24"/>
          <w:szCs w:val="24"/>
        </w:rPr>
      </w:pPr>
      <w:r w:rsidRPr="00D55151">
        <w:rPr>
          <w:rFonts w:ascii="Arial" w:hAnsi="Arial" w:cs="Arial"/>
          <w:b/>
          <w:bCs/>
          <w:sz w:val="24"/>
          <w:szCs w:val="24"/>
        </w:rPr>
        <w:t>PCNR de cáncer ajustada por la edad según el régimen (2019)</w:t>
      </w:r>
    </w:p>
    <w:p w14:paraId="0C330A09" w14:textId="77777777" w:rsidR="00D55151" w:rsidRPr="00D55151" w:rsidRDefault="00D55151" w:rsidP="00D55151">
      <w:pPr>
        <w:spacing w:after="0" w:line="240" w:lineRule="auto"/>
        <w:jc w:val="center"/>
        <w:rPr>
          <w:rFonts w:ascii="Arial" w:hAnsi="Arial" w:cs="Arial"/>
          <w:sz w:val="24"/>
          <w:szCs w:val="24"/>
        </w:rPr>
      </w:pPr>
      <w:r w:rsidRPr="00D55151">
        <w:rPr>
          <w:rFonts w:ascii="Arial" w:hAnsi="Arial" w:cs="Arial"/>
          <w:noProof/>
          <w:sz w:val="24"/>
          <w:szCs w:val="24"/>
        </w:rPr>
        <w:drawing>
          <wp:inline distT="0" distB="0" distL="0" distR="0" wp14:anchorId="3409FAEA" wp14:editId="7DEBB966">
            <wp:extent cx="4316730" cy="1597161"/>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4339432" cy="1605561"/>
                    </a:xfrm>
                    <a:prstGeom prst="rect">
                      <a:avLst/>
                    </a:prstGeom>
                  </pic:spPr>
                </pic:pic>
              </a:graphicData>
            </a:graphic>
          </wp:inline>
        </w:drawing>
      </w:r>
    </w:p>
    <w:p w14:paraId="1D14B471" w14:textId="77777777" w:rsidR="00D55151" w:rsidRPr="00D55151" w:rsidRDefault="00D55151" w:rsidP="00D55151">
      <w:pPr>
        <w:spacing w:after="0" w:line="240" w:lineRule="auto"/>
        <w:ind w:left="720" w:firstLine="720"/>
        <w:rPr>
          <w:rFonts w:ascii="Arial" w:hAnsi="Arial" w:cs="Arial"/>
          <w:i/>
          <w:iCs/>
          <w:sz w:val="20"/>
          <w:szCs w:val="20"/>
        </w:rPr>
      </w:pPr>
      <w:r w:rsidRPr="00D55151">
        <w:rPr>
          <w:rFonts w:ascii="Arial" w:hAnsi="Arial" w:cs="Arial"/>
          <w:i/>
          <w:iCs/>
          <w:sz w:val="20"/>
          <w:szCs w:val="20"/>
        </w:rPr>
        <w:t>Fuente: Cuenta de Alto Costo (2020)</w:t>
      </w:r>
      <w:r w:rsidRPr="00D55151">
        <w:rPr>
          <w:rStyle w:val="Refdenotaalpie"/>
          <w:rFonts w:ascii="Arial" w:hAnsi="Arial" w:cs="Arial"/>
          <w:i/>
          <w:iCs/>
          <w:sz w:val="20"/>
          <w:szCs w:val="20"/>
        </w:rPr>
        <w:footnoteReference w:id="5"/>
      </w:r>
    </w:p>
    <w:p w14:paraId="3E5B1D3B" w14:textId="77777777" w:rsidR="00D55151" w:rsidRPr="00D55151" w:rsidRDefault="00D55151" w:rsidP="00D55151">
      <w:pPr>
        <w:spacing w:after="0" w:line="240" w:lineRule="auto"/>
        <w:rPr>
          <w:rFonts w:ascii="Arial" w:hAnsi="Arial" w:cs="Arial"/>
          <w:i/>
          <w:iCs/>
          <w:sz w:val="24"/>
          <w:szCs w:val="24"/>
        </w:rPr>
      </w:pPr>
    </w:p>
    <w:p w14:paraId="487D3387" w14:textId="77777777" w:rsidR="00D55151" w:rsidRPr="00D55151" w:rsidRDefault="00D55151" w:rsidP="00D55151">
      <w:pPr>
        <w:spacing w:after="0" w:line="240" w:lineRule="auto"/>
        <w:rPr>
          <w:rFonts w:ascii="Arial" w:hAnsi="Arial" w:cs="Arial"/>
          <w:sz w:val="24"/>
          <w:szCs w:val="24"/>
        </w:rPr>
      </w:pPr>
      <w:r w:rsidRPr="00D55151">
        <w:rPr>
          <w:rFonts w:ascii="Arial" w:hAnsi="Arial" w:cs="Arial"/>
          <w:sz w:val="24"/>
          <w:szCs w:val="24"/>
        </w:rPr>
        <w:t xml:space="preserve">El informe de la Cuenta de Alto Costo no solo permite evidenciar el aumento de los casos de cáncer en el país, sino la incidencia del tipo de cáncer según la población. </w:t>
      </w:r>
    </w:p>
    <w:p w14:paraId="062EACBF" w14:textId="77777777" w:rsidR="00D55151" w:rsidRPr="00D55151" w:rsidRDefault="00D55151" w:rsidP="00D55151">
      <w:pPr>
        <w:spacing w:after="0" w:line="240" w:lineRule="auto"/>
        <w:rPr>
          <w:rFonts w:ascii="Arial" w:hAnsi="Arial" w:cs="Arial"/>
          <w:sz w:val="24"/>
          <w:szCs w:val="24"/>
        </w:rPr>
      </w:pPr>
    </w:p>
    <w:p w14:paraId="47A5C1AD" w14:textId="77777777" w:rsidR="00D55151" w:rsidRPr="00D55151" w:rsidRDefault="00D55151" w:rsidP="00D55151">
      <w:pPr>
        <w:spacing w:after="0" w:line="240" w:lineRule="auto"/>
        <w:rPr>
          <w:rFonts w:ascii="Arial" w:hAnsi="Arial" w:cs="Arial"/>
          <w:sz w:val="24"/>
          <w:szCs w:val="24"/>
        </w:rPr>
      </w:pPr>
      <w:r w:rsidRPr="00D55151">
        <w:rPr>
          <w:rFonts w:ascii="Arial" w:hAnsi="Arial" w:cs="Arial"/>
          <w:sz w:val="24"/>
          <w:szCs w:val="24"/>
        </w:rPr>
        <w:t>Para 2019, los cánceres con mayor incidencia presentaron cambios como se muestra a continuación:</w:t>
      </w:r>
    </w:p>
    <w:p w14:paraId="59F009C0" w14:textId="5FA0E996" w:rsidR="00C65E64" w:rsidRPr="005541BD" w:rsidRDefault="00D55151" w:rsidP="00C65E64">
      <w:pPr>
        <w:jc w:val="left"/>
        <w:rPr>
          <w:rFonts w:ascii="Arial" w:hAnsi="Arial" w:cs="Arial"/>
          <w:i/>
          <w:iCs/>
          <w:sz w:val="20"/>
          <w:szCs w:val="20"/>
        </w:rPr>
      </w:pPr>
      <w:r w:rsidRPr="009224F9">
        <w:rPr>
          <w:rFonts w:ascii="Arial" w:hAnsi="Arial" w:cs="Arial"/>
          <w:noProof/>
        </w:rPr>
        <w:drawing>
          <wp:inline distT="0" distB="0" distL="0" distR="0" wp14:anchorId="57346874" wp14:editId="7F1CDE75">
            <wp:extent cx="2628900" cy="20955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65E64" w:rsidRPr="009224F9">
        <w:rPr>
          <w:rFonts w:ascii="Arial" w:hAnsi="Arial" w:cs="Arial"/>
          <w:noProof/>
        </w:rPr>
        <w:drawing>
          <wp:inline distT="0" distB="0" distL="0" distR="0" wp14:anchorId="17EB7875" wp14:editId="1ACB6D24">
            <wp:extent cx="2886075" cy="212407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541BD">
        <w:rPr>
          <w:rFonts w:ascii="Arial" w:hAnsi="Arial" w:cs="Arial"/>
          <w:i/>
          <w:iCs/>
          <w:sz w:val="20"/>
          <w:szCs w:val="20"/>
        </w:rPr>
        <w:t>Fuente: Cuenta de Alto Costo (2020)</w:t>
      </w:r>
      <w:r w:rsidRPr="005541BD">
        <w:rPr>
          <w:rStyle w:val="Refdenotaalpie"/>
          <w:rFonts w:ascii="Arial" w:hAnsi="Arial" w:cs="Arial"/>
          <w:i/>
          <w:iCs/>
          <w:sz w:val="20"/>
          <w:szCs w:val="20"/>
        </w:rPr>
        <w:footnoteReference w:id="6"/>
      </w:r>
      <w:r w:rsidR="00C65E64">
        <w:rPr>
          <w:rFonts w:ascii="Arial" w:hAnsi="Arial" w:cs="Arial"/>
          <w:i/>
          <w:iCs/>
          <w:sz w:val="20"/>
          <w:szCs w:val="20"/>
        </w:rPr>
        <w:tab/>
      </w:r>
      <w:r w:rsidR="00C65E64">
        <w:rPr>
          <w:rFonts w:ascii="Arial" w:hAnsi="Arial" w:cs="Arial"/>
          <w:i/>
          <w:iCs/>
          <w:sz w:val="20"/>
          <w:szCs w:val="20"/>
        </w:rPr>
        <w:tab/>
      </w:r>
      <w:r w:rsidR="00C65E64">
        <w:rPr>
          <w:rFonts w:ascii="Arial" w:hAnsi="Arial" w:cs="Arial"/>
          <w:i/>
          <w:iCs/>
          <w:sz w:val="20"/>
          <w:szCs w:val="20"/>
        </w:rPr>
        <w:tab/>
      </w:r>
      <w:r w:rsidR="00C65E64" w:rsidRPr="005541BD">
        <w:rPr>
          <w:rFonts w:ascii="Arial" w:hAnsi="Arial" w:cs="Arial"/>
          <w:i/>
          <w:iCs/>
          <w:sz w:val="20"/>
          <w:szCs w:val="20"/>
        </w:rPr>
        <w:t>Fuente: Cuenta de Alto Costo (2020)</w:t>
      </w:r>
      <w:r w:rsidR="00C65E64" w:rsidRPr="005541BD">
        <w:rPr>
          <w:rStyle w:val="Refdenotaalpie"/>
          <w:rFonts w:ascii="Arial" w:hAnsi="Arial" w:cs="Arial"/>
          <w:i/>
          <w:iCs/>
          <w:sz w:val="20"/>
          <w:szCs w:val="20"/>
        </w:rPr>
        <w:footnoteReference w:id="7"/>
      </w:r>
    </w:p>
    <w:p w14:paraId="347C298F" w14:textId="77777777" w:rsidR="00C65E64" w:rsidRPr="00512666" w:rsidRDefault="00C65E64" w:rsidP="00512666">
      <w:pPr>
        <w:spacing w:after="0" w:line="240" w:lineRule="auto"/>
        <w:rPr>
          <w:rFonts w:ascii="Arial" w:hAnsi="Arial" w:cs="Arial"/>
          <w:sz w:val="24"/>
          <w:szCs w:val="24"/>
        </w:rPr>
      </w:pPr>
      <w:r w:rsidRPr="00512666">
        <w:rPr>
          <w:rFonts w:ascii="Arial" w:hAnsi="Arial" w:cs="Arial"/>
          <w:sz w:val="24"/>
          <w:szCs w:val="24"/>
        </w:rPr>
        <w:t>Teniendo en cuenta la situación de pandemia que ha suscitado el SARS-CoV-2 o Covid-19, los pacientes con cáncer se han visto altamente afectados. De esta población que convive con algún tipo de cáncer, a febrero de 2021 se han infectado con SARS-CoV-2 13.662 personas de acuerdo con el Ministerio de Salud</w:t>
      </w:r>
      <w:r w:rsidRPr="00512666">
        <w:rPr>
          <w:rStyle w:val="Refdenotaalpie"/>
          <w:rFonts w:ascii="Arial" w:hAnsi="Arial" w:cs="Arial"/>
          <w:sz w:val="24"/>
          <w:szCs w:val="24"/>
        </w:rPr>
        <w:footnoteReference w:id="8"/>
      </w:r>
      <w:r w:rsidRPr="00512666">
        <w:rPr>
          <w:rFonts w:ascii="Arial" w:hAnsi="Arial" w:cs="Arial"/>
          <w:sz w:val="24"/>
          <w:szCs w:val="24"/>
        </w:rPr>
        <w:t xml:space="preserve">. Hasta el </w:t>
      </w:r>
      <w:r w:rsidRPr="00512666">
        <w:rPr>
          <w:rFonts w:ascii="Arial" w:hAnsi="Arial" w:cs="Arial"/>
          <w:sz w:val="24"/>
          <w:szCs w:val="24"/>
        </w:rPr>
        <w:lastRenderedPageBreak/>
        <w:t xml:space="preserve">momento 1.271 de estos pacientes han fallecido a causa de complicaciones asociadas al COVID-19. Cabe notar que el 92 % de estos fallecimientos corresponde a mayores de 57 años.  </w:t>
      </w:r>
    </w:p>
    <w:p w14:paraId="1A5329F2" w14:textId="77777777" w:rsidR="00C65E64" w:rsidRPr="00512666" w:rsidRDefault="00C65E64" w:rsidP="00512666">
      <w:pPr>
        <w:spacing w:after="0" w:line="240" w:lineRule="auto"/>
        <w:rPr>
          <w:rFonts w:ascii="Arial" w:hAnsi="Arial" w:cs="Arial"/>
          <w:sz w:val="24"/>
          <w:szCs w:val="24"/>
        </w:rPr>
      </w:pPr>
    </w:p>
    <w:p w14:paraId="037CD7F9" w14:textId="63E0AD82" w:rsidR="00C65E64" w:rsidRPr="00512666" w:rsidRDefault="00C65E64" w:rsidP="00512666">
      <w:pPr>
        <w:spacing w:after="0" w:line="240" w:lineRule="auto"/>
        <w:rPr>
          <w:rFonts w:ascii="Arial" w:hAnsi="Arial" w:cs="Arial"/>
          <w:sz w:val="24"/>
          <w:szCs w:val="24"/>
        </w:rPr>
      </w:pPr>
      <w:r w:rsidRPr="00512666">
        <w:rPr>
          <w:rFonts w:ascii="Arial" w:hAnsi="Arial" w:cs="Arial"/>
          <w:sz w:val="24"/>
          <w:szCs w:val="24"/>
        </w:rPr>
        <w:t xml:space="preserve">Los departamentos que concentran el mayor número de muertes en el país corresponden a: Valle del Cauca, Antioquia, Santander y Bogotá D.C. Estos territorios agrupan el 65% de los fallecimientos en esta población. A continuación, se presenta una gráfica que distribuye en percentiles el número de decesos: </w:t>
      </w:r>
    </w:p>
    <w:p w14:paraId="3D6D496A" w14:textId="77777777" w:rsidR="00512666" w:rsidRPr="00512666" w:rsidRDefault="00512666" w:rsidP="00512666">
      <w:pPr>
        <w:spacing w:after="0" w:line="240" w:lineRule="auto"/>
        <w:rPr>
          <w:rFonts w:ascii="Arial" w:hAnsi="Arial" w:cs="Arial"/>
          <w:sz w:val="24"/>
          <w:szCs w:val="24"/>
        </w:rPr>
      </w:pPr>
    </w:p>
    <w:p w14:paraId="39F503D7" w14:textId="77777777" w:rsidR="00C65E64" w:rsidRPr="00512666" w:rsidRDefault="00C65E64" w:rsidP="00512666">
      <w:pPr>
        <w:spacing w:after="0" w:line="240" w:lineRule="auto"/>
        <w:rPr>
          <w:rFonts w:ascii="Arial" w:hAnsi="Arial" w:cs="Arial"/>
          <w:b/>
          <w:bCs/>
          <w:sz w:val="24"/>
          <w:szCs w:val="24"/>
        </w:rPr>
      </w:pPr>
      <w:r w:rsidRPr="00512666">
        <w:rPr>
          <w:rFonts w:ascii="Arial" w:hAnsi="Arial" w:cs="Arial"/>
          <w:b/>
          <w:bCs/>
          <w:sz w:val="24"/>
          <w:szCs w:val="24"/>
        </w:rPr>
        <w:t>Cartograma de fallecimientos en pacientes con diagnóstico de cáncer y COVID-19</w:t>
      </w:r>
      <w:r w:rsidRPr="00512666">
        <w:rPr>
          <w:rStyle w:val="Refdenotaalpie"/>
          <w:rFonts w:ascii="Arial" w:hAnsi="Arial" w:cs="Arial"/>
          <w:i/>
          <w:iCs/>
          <w:sz w:val="24"/>
          <w:szCs w:val="24"/>
        </w:rPr>
        <w:footnoteReference w:id="9"/>
      </w:r>
    </w:p>
    <w:p w14:paraId="07A12D98" w14:textId="77777777" w:rsidR="00C65E64" w:rsidRPr="00512666" w:rsidRDefault="00C65E64" w:rsidP="00512666">
      <w:pPr>
        <w:spacing w:after="0" w:line="240" w:lineRule="auto"/>
        <w:rPr>
          <w:rFonts w:ascii="Arial" w:hAnsi="Arial" w:cs="Arial"/>
          <w:sz w:val="24"/>
          <w:szCs w:val="24"/>
        </w:rPr>
      </w:pPr>
    </w:p>
    <w:p w14:paraId="4D5ED591" w14:textId="77777777" w:rsidR="00C65E64" w:rsidRPr="009224F9" w:rsidRDefault="00C65E64" w:rsidP="00C65E64">
      <w:pPr>
        <w:jc w:val="center"/>
        <w:rPr>
          <w:rFonts w:ascii="Arial" w:hAnsi="Arial" w:cs="Arial"/>
        </w:rPr>
      </w:pPr>
      <w:r w:rsidRPr="009224F9">
        <w:rPr>
          <w:rFonts w:ascii="Arial" w:hAnsi="Arial" w:cs="Arial"/>
          <w:noProof/>
        </w:rPr>
        <w:drawing>
          <wp:inline distT="0" distB="0" distL="0" distR="0" wp14:anchorId="41B44ED8" wp14:editId="3D41847E">
            <wp:extent cx="4348094" cy="3486150"/>
            <wp:effectExtent l="0" t="0" r="0" b="0"/>
            <wp:docPr id="14" name="Picture 1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ubble chart&#10;&#10;Description automatically generated"/>
                    <pic:cNvPicPr/>
                  </pic:nvPicPr>
                  <pic:blipFill>
                    <a:blip r:embed="rId12"/>
                    <a:stretch>
                      <a:fillRect/>
                    </a:stretch>
                  </pic:blipFill>
                  <pic:spPr>
                    <a:xfrm>
                      <a:off x="0" y="0"/>
                      <a:ext cx="4377994" cy="3510123"/>
                    </a:xfrm>
                    <a:prstGeom prst="rect">
                      <a:avLst/>
                    </a:prstGeom>
                  </pic:spPr>
                </pic:pic>
              </a:graphicData>
            </a:graphic>
          </wp:inline>
        </w:drawing>
      </w:r>
    </w:p>
    <w:p w14:paraId="4A34021A" w14:textId="77777777" w:rsidR="00C65E64" w:rsidRPr="005541BD" w:rsidRDefault="00C65E64" w:rsidP="00C65E64">
      <w:pPr>
        <w:rPr>
          <w:rFonts w:ascii="Arial" w:hAnsi="Arial" w:cs="Arial"/>
          <w:i/>
          <w:iCs/>
          <w:sz w:val="20"/>
          <w:szCs w:val="20"/>
        </w:rPr>
      </w:pPr>
      <w:r w:rsidRPr="005541BD">
        <w:rPr>
          <w:rFonts w:ascii="Arial" w:hAnsi="Arial" w:cs="Arial"/>
          <w:i/>
          <w:iCs/>
          <w:sz w:val="20"/>
          <w:szCs w:val="20"/>
        </w:rPr>
        <w:t>Fuente: Observatorio Nacional de Cáncer, 2021</w:t>
      </w:r>
    </w:p>
    <w:p w14:paraId="14944326" w14:textId="77777777" w:rsidR="00C65E64" w:rsidRPr="00D720C1" w:rsidRDefault="00C65E64" w:rsidP="00D720C1">
      <w:pPr>
        <w:spacing w:after="0" w:line="240" w:lineRule="auto"/>
        <w:rPr>
          <w:rFonts w:ascii="Arial" w:hAnsi="Arial" w:cs="Arial"/>
          <w:sz w:val="24"/>
          <w:szCs w:val="24"/>
        </w:rPr>
      </w:pPr>
      <w:r w:rsidRPr="00D720C1">
        <w:rPr>
          <w:rFonts w:ascii="Arial" w:hAnsi="Arial" w:cs="Arial"/>
          <w:sz w:val="24"/>
          <w:szCs w:val="24"/>
        </w:rPr>
        <w:t xml:space="preserve">Asimismo, la situación que ha provocado la pandemia de COVID-19 prendió las alarmas por los diagnósticos tardíos en cáncer. </w:t>
      </w:r>
    </w:p>
    <w:p w14:paraId="16E0C93F" w14:textId="77777777" w:rsidR="00C65E64" w:rsidRPr="00D720C1" w:rsidRDefault="00C65E64" w:rsidP="00D720C1">
      <w:pPr>
        <w:spacing w:after="0" w:line="240" w:lineRule="auto"/>
        <w:rPr>
          <w:rFonts w:ascii="Arial" w:hAnsi="Arial" w:cs="Arial"/>
          <w:sz w:val="24"/>
          <w:szCs w:val="24"/>
        </w:rPr>
      </w:pPr>
    </w:p>
    <w:p w14:paraId="48953174" w14:textId="77777777" w:rsidR="00C65E64" w:rsidRPr="00D720C1" w:rsidRDefault="00C65E64" w:rsidP="00D720C1">
      <w:pPr>
        <w:spacing w:after="0" w:line="240" w:lineRule="auto"/>
        <w:rPr>
          <w:rFonts w:ascii="Arial" w:hAnsi="Arial" w:cs="Arial"/>
          <w:sz w:val="24"/>
          <w:szCs w:val="24"/>
        </w:rPr>
      </w:pPr>
      <w:r w:rsidRPr="00D720C1">
        <w:rPr>
          <w:rFonts w:ascii="Arial" w:hAnsi="Arial" w:cs="Arial"/>
          <w:sz w:val="24"/>
          <w:szCs w:val="24"/>
        </w:rPr>
        <w:t xml:space="preserve">Según la Asociación Colombiana de Hematología y Oncología (ACHO), por cuenta de la pandemia los pacientes dejaron de asistir a los hospitales y las citas médicas </w:t>
      </w:r>
      <w:r w:rsidRPr="00D720C1">
        <w:rPr>
          <w:rFonts w:ascii="Arial" w:hAnsi="Arial" w:cs="Arial"/>
          <w:sz w:val="24"/>
          <w:szCs w:val="24"/>
        </w:rPr>
        <w:lastRenderedPageBreak/>
        <w:t xml:space="preserve">por miedo a contraer el virus, sin embargo, ese miedo provocará en el largo plazo una epidemia de diagnósticos tardíos de cáncer. </w:t>
      </w:r>
    </w:p>
    <w:p w14:paraId="1E97187E" w14:textId="77777777" w:rsidR="00C65E64" w:rsidRPr="00D720C1" w:rsidRDefault="00C65E64" w:rsidP="00D720C1">
      <w:pPr>
        <w:spacing w:after="0" w:line="240" w:lineRule="auto"/>
        <w:rPr>
          <w:rFonts w:ascii="Arial" w:hAnsi="Arial" w:cs="Arial"/>
          <w:sz w:val="24"/>
          <w:szCs w:val="24"/>
        </w:rPr>
      </w:pPr>
    </w:p>
    <w:p w14:paraId="25935C16" w14:textId="77777777" w:rsidR="00C65E64" w:rsidRPr="00D720C1" w:rsidRDefault="00C65E64" w:rsidP="00D720C1">
      <w:pPr>
        <w:spacing w:after="0" w:line="240" w:lineRule="auto"/>
        <w:rPr>
          <w:rFonts w:ascii="Arial" w:hAnsi="Arial" w:cs="Arial"/>
          <w:sz w:val="24"/>
          <w:szCs w:val="24"/>
        </w:rPr>
      </w:pPr>
      <w:r w:rsidRPr="00D720C1">
        <w:rPr>
          <w:rFonts w:ascii="Arial" w:hAnsi="Arial" w:cs="Arial"/>
          <w:sz w:val="24"/>
          <w:szCs w:val="24"/>
        </w:rPr>
        <w:t>A través de una encuesta realizada por la ACHO, se evidenció que durante la pandemia se redujo en un 39% los diagnósticos de cáncer. Según la encuesta, los exámenes de diagnóstico que más se redujeron fueron los de mamografía (84%), lo que muestra un impacto importante en el caso de los cánceres que se presentan en mujeres, ya que los diagnósticos de la enfermedad se harán en etapas más avanzadas de la enfermedad</w:t>
      </w:r>
      <w:r w:rsidRPr="00D720C1">
        <w:rPr>
          <w:rStyle w:val="Refdenotaalpie"/>
          <w:rFonts w:ascii="Arial" w:hAnsi="Arial" w:cs="Arial"/>
          <w:sz w:val="24"/>
          <w:szCs w:val="24"/>
        </w:rPr>
        <w:footnoteReference w:id="10"/>
      </w:r>
      <w:r w:rsidRPr="00D720C1">
        <w:rPr>
          <w:rFonts w:ascii="Arial" w:hAnsi="Arial" w:cs="Arial"/>
          <w:sz w:val="24"/>
          <w:szCs w:val="24"/>
        </w:rPr>
        <w:t>.</w:t>
      </w:r>
    </w:p>
    <w:p w14:paraId="21408851" w14:textId="77777777" w:rsidR="00C65E64" w:rsidRPr="00D720C1" w:rsidRDefault="00C65E64" w:rsidP="00D720C1">
      <w:pPr>
        <w:spacing w:after="0" w:line="240" w:lineRule="auto"/>
        <w:rPr>
          <w:rFonts w:ascii="Arial" w:hAnsi="Arial" w:cs="Arial"/>
          <w:sz w:val="24"/>
          <w:szCs w:val="24"/>
        </w:rPr>
      </w:pPr>
    </w:p>
    <w:p w14:paraId="43BA5A7A" w14:textId="77777777" w:rsidR="00C65E64" w:rsidRPr="00D720C1" w:rsidRDefault="00C65E64" w:rsidP="00D720C1">
      <w:pPr>
        <w:spacing w:after="0" w:line="240" w:lineRule="auto"/>
        <w:rPr>
          <w:rFonts w:ascii="Arial" w:hAnsi="Arial" w:cs="Arial"/>
          <w:sz w:val="24"/>
          <w:szCs w:val="24"/>
        </w:rPr>
      </w:pPr>
      <w:r w:rsidRPr="00D720C1">
        <w:rPr>
          <w:rFonts w:ascii="Arial" w:hAnsi="Arial" w:cs="Arial"/>
          <w:sz w:val="24"/>
          <w:szCs w:val="24"/>
        </w:rPr>
        <w:t>Otro de los problemas que han enfrentado los pacientes con cáncer es la atención oportuna de los tratamientos. Según la Fundación Colombiana de Leucemia y Linfoma, de una muestra de 315 pacientes el 53,9%, reportó tener dificultades para acceder a citas, tratamientos y medicamentos durante la pandemia. Los problemas reportados por los pacientes fueron: cancelación de citas con especialista por parte de la IPS/ EPS (24.7%), demora en entrega de medicamentos (13.9%), cancelación o aplazamiento de aplicación del medicamento (4%), cancelación de cirugías (3.4%), cancelación o aplazamientos de radioterapias (1.5%)</w:t>
      </w:r>
      <w:r w:rsidRPr="00D720C1">
        <w:rPr>
          <w:rStyle w:val="Refdenotaalpie"/>
          <w:rFonts w:ascii="Arial" w:hAnsi="Arial" w:cs="Arial"/>
          <w:sz w:val="24"/>
          <w:szCs w:val="24"/>
        </w:rPr>
        <w:footnoteReference w:id="11"/>
      </w:r>
      <w:r w:rsidRPr="00D720C1">
        <w:rPr>
          <w:rFonts w:ascii="Arial" w:hAnsi="Arial" w:cs="Arial"/>
          <w:sz w:val="24"/>
          <w:szCs w:val="24"/>
        </w:rPr>
        <w:t>. Adicionalmente, de acuerdo con Cuenta de Alto Costo</w:t>
      </w:r>
      <w:r w:rsidRPr="00D720C1">
        <w:rPr>
          <w:rStyle w:val="Refdenotaalpie"/>
          <w:rFonts w:ascii="Arial" w:hAnsi="Arial" w:cs="Arial"/>
          <w:sz w:val="24"/>
          <w:szCs w:val="24"/>
        </w:rPr>
        <w:footnoteReference w:id="12"/>
      </w:r>
      <w:r w:rsidRPr="00D720C1">
        <w:rPr>
          <w:rFonts w:ascii="Arial" w:hAnsi="Arial" w:cs="Arial"/>
          <w:sz w:val="24"/>
          <w:szCs w:val="24"/>
        </w:rPr>
        <w:t xml:space="preserve">, en 2020 la oportunidad para acceder al diagnóstico y al tratamiento fue menor en los tipos de cáncer hematológicos, en comparación con los sólidos. También se evidenció que los tiempos de la atención en todos los tipos de cáncer fueron más prolongados que en 2019 como se demuestra en la siguiente tabla: </w:t>
      </w:r>
    </w:p>
    <w:p w14:paraId="5F2DC5FF" w14:textId="77777777" w:rsidR="00C65E64" w:rsidRPr="00D720C1" w:rsidRDefault="00C65E64" w:rsidP="00D720C1">
      <w:pPr>
        <w:spacing w:after="0" w:line="240" w:lineRule="auto"/>
        <w:rPr>
          <w:rFonts w:ascii="Arial" w:hAnsi="Arial" w:cs="Arial"/>
          <w:sz w:val="24"/>
          <w:szCs w:val="24"/>
        </w:rPr>
      </w:pPr>
    </w:p>
    <w:p w14:paraId="7A11B301" w14:textId="77777777" w:rsidR="00C65E64" w:rsidRPr="00D720C1" w:rsidRDefault="00C65E64" w:rsidP="00D720C1">
      <w:pPr>
        <w:spacing w:after="0" w:line="240" w:lineRule="auto"/>
        <w:jc w:val="center"/>
        <w:rPr>
          <w:rFonts w:ascii="Arial" w:hAnsi="Arial" w:cs="Arial"/>
          <w:b/>
          <w:bCs/>
          <w:sz w:val="24"/>
          <w:szCs w:val="24"/>
        </w:rPr>
      </w:pPr>
      <w:r w:rsidRPr="00D720C1">
        <w:rPr>
          <w:rFonts w:ascii="Arial" w:hAnsi="Arial" w:cs="Arial"/>
          <w:b/>
          <w:bCs/>
          <w:sz w:val="24"/>
          <w:szCs w:val="24"/>
        </w:rPr>
        <w:t>Oportunidad en el diagnóstico y el tratamiento del cáncer, Colombia 2018-2020</w:t>
      </w:r>
      <w:r w:rsidRPr="00D720C1">
        <w:rPr>
          <w:rStyle w:val="Refdenotaalpie"/>
          <w:rFonts w:ascii="Arial" w:hAnsi="Arial" w:cs="Arial"/>
          <w:i/>
          <w:iCs/>
          <w:sz w:val="24"/>
          <w:szCs w:val="24"/>
        </w:rPr>
        <w:footnoteReference w:id="13"/>
      </w:r>
    </w:p>
    <w:p w14:paraId="5A463214" w14:textId="77777777" w:rsidR="00C65E64" w:rsidRPr="009224F9" w:rsidRDefault="00C65E64" w:rsidP="007D03BE">
      <w:pPr>
        <w:spacing w:after="0" w:line="240" w:lineRule="auto"/>
        <w:jc w:val="center"/>
        <w:rPr>
          <w:rFonts w:ascii="Arial" w:hAnsi="Arial" w:cs="Arial"/>
          <w:b/>
          <w:bCs/>
        </w:rPr>
      </w:pPr>
      <w:r w:rsidRPr="009224F9">
        <w:rPr>
          <w:rFonts w:ascii="Arial" w:hAnsi="Arial" w:cs="Arial"/>
          <w:b/>
          <w:bCs/>
          <w:noProof/>
        </w:rPr>
        <w:drawing>
          <wp:inline distT="0" distB="0" distL="0" distR="0" wp14:anchorId="1584AF51" wp14:editId="1E466C3A">
            <wp:extent cx="5612130" cy="1219200"/>
            <wp:effectExtent l="0" t="0" r="7620" b="0"/>
            <wp:docPr id="12" name="Picture 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pic:nvPicPr>
                  <pic:blipFill rotWithShape="1">
                    <a:blip r:embed="rId13"/>
                    <a:srcRect b="9262"/>
                    <a:stretch/>
                  </pic:blipFill>
                  <pic:spPr bwMode="auto">
                    <a:xfrm>
                      <a:off x="0" y="0"/>
                      <a:ext cx="5612130" cy="1219200"/>
                    </a:xfrm>
                    <a:prstGeom prst="rect">
                      <a:avLst/>
                    </a:prstGeom>
                    <a:ln>
                      <a:noFill/>
                    </a:ln>
                    <a:extLst>
                      <a:ext uri="{53640926-AAD7-44D8-BBD7-CCE9431645EC}">
                        <a14:shadowObscured xmlns:a14="http://schemas.microsoft.com/office/drawing/2010/main"/>
                      </a:ext>
                    </a:extLst>
                  </pic:spPr>
                </pic:pic>
              </a:graphicData>
            </a:graphic>
          </wp:inline>
        </w:drawing>
      </w:r>
    </w:p>
    <w:p w14:paraId="51FC026E" w14:textId="77777777" w:rsidR="00C65E64" w:rsidRPr="005541BD" w:rsidRDefault="00C65E64" w:rsidP="007D03BE">
      <w:pPr>
        <w:spacing w:after="0" w:line="240" w:lineRule="auto"/>
        <w:rPr>
          <w:rFonts w:ascii="Arial" w:hAnsi="Arial" w:cs="Arial"/>
          <w:i/>
          <w:iCs/>
          <w:sz w:val="20"/>
          <w:szCs w:val="20"/>
        </w:rPr>
      </w:pPr>
      <w:r w:rsidRPr="005541BD">
        <w:rPr>
          <w:rFonts w:ascii="Arial" w:hAnsi="Arial" w:cs="Arial"/>
          <w:i/>
          <w:iCs/>
          <w:sz w:val="20"/>
          <w:szCs w:val="20"/>
        </w:rPr>
        <w:t>Fuente: Cuenta de Alto Costo, 2021</w:t>
      </w:r>
    </w:p>
    <w:p w14:paraId="4BF615A5" w14:textId="77777777" w:rsidR="00C65E64" w:rsidRPr="009224F9" w:rsidRDefault="00C65E64" w:rsidP="00083FA8">
      <w:pPr>
        <w:spacing w:after="0" w:line="240" w:lineRule="auto"/>
        <w:rPr>
          <w:rFonts w:ascii="Arial" w:hAnsi="Arial" w:cs="Arial"/>
        </w:rPr>
      </w:pPr>
      <w:r w:rsidRPr="009224F9">
        <w:rPr>
          <w:rFonts w:ascii="Arial" w:hAnsi="Arial" w:cs="Arial"/>
        </w:rPr>
        <w:t xml:space="preserve"> </w:t>
      </w:r>
    </w:p>
    <w:p w14:paraId="48790B2E" w14:textId="3AA9330F" w:rsidR="00D55151" w:rsidRPr="00EA55B2" w:rsidRDefault="00C65E64" w:rsidP="00EA55B2">
      <w:pPr>
        <w:spacing w:after="0" w:line="240" w:lineRule="auto"/>
        <w:rPr>
          <w:rFonts w:ascii="Arial" w:hAnsi="Arial" w:cs="Arial"/>
          <w:sz w:val="24"/>
          <w:szCs w:val="24"/>
        </w:rPr>
      </w:pPr>
      <w:r w:rsidRPr="00EA55B2">
        <w:rPr>
          <w:rFonts w:ascii="Arial" w:hAnsi="Arial" w:cs="Arial"/>
          <w:sz w:val="24"/>
          <w:szCs w:val="24"/>
        </w:rPr>
        <w:lastRenderedPageBreak/>
        <w:t>Como respuesta a las dificultades de acceso de atención, el Ministerio de Salud</w:t>
      </w:r>
      <w:r w:rsidRPr="00EA55B2">
        <w:rPr>
          <w:rStyle w:val="Refdenotaalpie"/>
          <w:rFonts w:ascii="Arial" w:hAnsi="Arial" w:cs="Arial"/>
          <w:sz w:val="24"/>
          <w:szCs w:val="24"/>
        </w:rPr>
        <w:footnoteReference w:id="14"/>
      </w:r>
      <w:r w:rsidRPr="00EA55B2">
        <w:rPr>
          <w:rFonts w:ascii="Arial" w:hAnsi="Arial" w:cs="Arial"/>
          <w:sz w:val="24"/>
          <w:szCs w:val="24"/>
        </w:rPr>
        <w:t xml:space="preserve"> ha incentivado el uso de herramientas como la teleconsulta, telemedicina, atención domiciliaria y la entrega domiciliaria de medicamentos para las poblaciones con mayor vulnerabilidad al virus.</w:t>
      </w:r>
    </w:p>
    <w:p w14:paraId="34836722" w14:textId="0B83D32E" w:rsidR="00EB5959" w:rsidRPr="00EA55B2" w:rsidRDefault="00EB5959" w:rsidP="00EA55B2">
      <w:pPr>
        <w:spacing w:after="0" w:line="240" w:lineRule="auto"/>
        <w:rPr>
          <w:rFonts w:ascii="Arial" w:hAnsi="Arial" w:cs="Arial"/>
          <w:sz w:val="24"/>
          <w:szCs w:val="24"/>
        </w:rPr>
      </w:pPr>
    </w:p>
    <w:p w14:paraId="25B352F9" w14:textId="77777777" w:rsidR="00EA55B2" w:rsidRPr="00EA55B2" w:rsidRDefault="00EA55B2" w:rsidP="00EA55B2">
      <w:pPr>
        <w:spacing w:after="0" w:line="240" w:lineRule="auto"/>
        <w:rPr>
          <w:rFonts w:ascii="Arial" w:hAnsi="Arial" w:cs="Arial"/>
          <w:b/>
          <w:bCs/>
          <w:sz w:val="24"/>
          <w:szCs w:val="24"/>
        </w:rPr>
      </w:pPr>
      <w:r w:rsidRPr="00EA55B2">
        <w:rPr>
          <w:rFonts w:ascii="Arial" w:hAnsi="Arial" w:cs="Arial"/>
          <w:b/>
          <w:bCs/>
          <w:sz w:val="24"/>
          <w:szCs w:val="24"/>
        </w:rPr>
        <w:t>Situación de los pacientes colombianos con cáncer</w:t>
      </w:r>
    </w:p>
    <w:p w14:paraId="6B82D161" w14:textId="77777777" w:rsidR="00EA55B2" w:rsidRPr="00EA55B2" w:rsidRDefault="00EA55B2" w:rsidP="00EA55B2">
      <w:pPr>
        <w:spacing w:after="0" w:line="240" w:lineRule="auto"/>
        <w:rPr>
          <w:rFonts w:ascii="Arial" w:hAnsi="Arial" w:cs="Arial"/>
          <w:sz w:val="24"/>
          <w:szCs w:val="24"/>
        </w:rPr>
      </w:pPr>
    </w:p>
    <w:p w14:paraId="14A7558D" w14:textId="77777777" w:rsidR="00EA55B2" w:rsidRPr="00EA55B2" w:rsidRDefault="00EA55B2" w:rsidP="00EA55B2">
      <w:pPr>
        <w:spacing w:after="0" w:line="240" w:lineRule="auto"/>
        <w:rPr>
          <w:rFonts w:ascii="Arial" w:hAnsi="Arial" w:cs="Arial"/>
          <w:sz w:val="24"/>
          <w:szCs w:val="24"/>
        </w:rPr>
      </w:pPr>
      <w:r w:rsidRPr="00EA55B2">
        <w:rPr>
          <w:rFonts w:ascii="Arial" w:hAnsi="Arial" w:cs="Arial"/>
          <w:sz w:val="24"/>
          <w:szCs w:val="24"/>
        </w:rPr>
        <w:t>A propósito de la situación de los pacientes colombianos con cáncer, y específicamente a lo que se refiere a la entrega de medicamentos para su tratamiento, el Observatorio de Presupuestos Máximos del movimiento Pacientes Colombia</w:t>
      </w:r>
      <w:r w:rsidRPr="00EA55B2">
        <w:rPr>
          <w:rStyle w:val="Refdenotaalpie"/>
          <w:rFonts w:ascii="Arial" w:hAnsi="Arial" w:cs="Arial"/>
          <w:sz w:val="24"/>
          <w:szCs w:val="24"/>
        </w:rPr>
        <w:footnoteReference w:id="15"/>
      </w:r>
      <w:r w:rsidRPr="00EA55B2">
        <w:rPr>
          <w:rFonts w:ascii="Arial" w:hAnsi="Arial" w:cs="Arial"/>
          <w:sz w:val="24"/>
          <w:szCs w:val="24"/>
        </w:rPr>
        <w:t xml:space="preserve"> realizó un estudio sobre cómo los presupuestos máximos han incidido en las prescripciones de los pacientes entre el 2020 y abril del 2021. </w:t>
      </w:r>
    </w:p>
    <w:p w14:paraId="7289B77E" w14:textId="77777777" w:rsidR="00EA55B2" w:rsidRPr="00EA55B2" w:rsidRDefault="00EA55B2" w:rsidP="00EA55B2">
      <w:pPr>
        <w:spacing w:after="0" w:line="240" w:lineRule="auto"/>
        <w:rPr>
          <w:rFonts w:ascii="Arial" w:hAnsi="Arial" w:cs="Arial"/>
          <w:sz w:val="24"/>
          <w:szCs w:val="24"/>
        </w:rPr>
      </w:pPr>
    </w:p>
    <w:p w14:paraId="28516299" w14:textId="77777777" w:rsidR="00EA55B2" w:rsidRPr="00EA55B2" w:rsidRDefault="00EA55B2" w:rsidP="00EA55B2">
      <w:pPr>
        <w:spacing w:after="0" w:line="240" w:lineRule="auto"/>
        <w:rPr>
          <w:rFonts w:ascii="Arial" w:hAnsi="Arial" w:cs="Arial"/>
          <w:sz w:val="24"/>
          <w:szCs w:val="24"/>
        </w:rPr>
      </w:pPr>
      <w:r w:rsidRPr="00EA55B2">
        <w:rPr>
          <w:rFonts w:ascii="Arial" w:hAnsi="Arial" w:cs="Arial"/>
          <w:sz w:val="24"/>
          <w:szCs w:val="24"/>
        </w:rPr>
        <w:t xml:space="preserve">En este estudio se evaluaron los casos de cáncer de seno, pulmón, cervix, colon y próstata, arrojando los siguientes resultados: </w:t>
      </w:r>
    </w:p>
    <w:p w14:paraId="55404AF1" w14:textId="77777777" w:rsidR="00EA55B2" w:rsidRPr="00EA55B2" w:rsidRDefault="00EA55B2" w:rsidP="00EA55B2">
      <w:pPr>
        <w:spacing w:after="0" w:line="240" w:lineRule="auto"/>
        <w:rPr>
          <w:rFonts w:ascii="Arial" w:hAnsi="Arial" w:cs="Arial"/>
          <w:sz w:val="24"/>
          <w:szCs w:val="24"/>
        </w:rPr>
      </w:pPr>
    </w:p>
    <w:p w14:paraId="1E87E4B5" w14:textId="77777777" w:rsidR="00EA55B2" w:rsidRPr="00EA55B2" w:rsidRDefault="00EA55B2" w:rsidP="00EA55B2">
      <w:pPr>
        <w:pStyle w:val="Prrafodelista"/>
        <w:numPr>
          <w:ilvl w:val="0"/>
          <w:numId w:val="36"/>
        </w:numPr>
        <w:spacing w:after="0" w:line="240" w:lineRule="auto"/>
        <w:jc w:val="both"/>
        <w:rPr>
          <w:rFonts w:ascii="Arial" w:hAnsi="Arial" w:cs="Arial"/>
          <w:sz w:val="24"/>
          <w:szCs w:val="24"/>
        </w:rPr>
      </w:pPr>
      <w:r w:rsidRPr="00EA55B2">
        <w:rPr>
          <w:rFonts w:ascii="Arial" w:hAnsi="Arial" w:cs="Arial"/>
          <w:sz w:val="24"/>
          <w:szCs w:val="24"/>
        </w:rPr>
        <w:t xml:space="preserve">En lo que se refiere al Régimen Contributivo (RC), no se evidenciaron cambios considerables en la cantidad de pacientes prescritos de cáncer de seno entre 2020 y abril de 2021, pero sí hubo una disminución del 11% de pacientes prescritos para cáncer de seno entre marzo y abril del 2021. Lo mismo sucedió para pacientes con cánceres de cérvix (13%), colon (-10%) y próstata (-10%). </w:t>
      </w:r>
    </w:p>
    <w:p w14:paraId="5E5DAF78" w14:textId="77777777" w:rsidR="00EA55B2" w:rsidRPr="00EA55B2" w:rsidRDefault="00EA55B2" w:rsidP="00EA55B2">
      <w:pPr>
        <w:pStyle w:val="Prrafodelista"/>
        <w:spacing w:after="0" w:line="240" w:lineRule="auto"/>
        <w:jc w:val="both"/>
        <w:rPr>
          <w:rFonts w:ascii="Arial" w:hAnsi="Arial" w:cs="Arial"/>
          <w:sz w:val="24"/>
          <w:szCs w:val="24"/>
        </w:rPr>
      </w:pPr>
    </w:p>
    <w:p w14:paraId="4B2185E1" w14:textId="77777777" w:rsidR="00EA55B2" w:rsidRPr="00EA55B2" w:rsidRDefault="00EA55B2" w:rsidP="00EA55B2">
      <w:pPr>
        <w:pStyle w:val="Prrafodelista"/>
        <w:numPr>
          <w:ilvl w:val="0"/>
          <w:numId w:val="36"/>
        </w:numPr>
        <w:spacing w:after="0" w:line="240" w:lineRule="auto"/>
        <w:jc w:val="both"/>
        <w:rPr>
          <w:rFonts w:ascii="Arial" w:hAnsi="Arial" w:cs="Arial"/>
          <w:sz w:val="24"/>
          <w:szCs w:val="24"/>
        </w:rPr>
      </w:pPr>
      <w:r w:rsidRPr="00EA55B2">
        <w:rPr>
          <w:rFonts w:ascii="Arial" w:hAnsi="Arial" w:cs="Arial"/>
          <w:sz w:val="24"/>
          <w:szCs w:val="24"/>
        </w:rPr>
        <w:t>Por el contrario, en el régimen subsidiado hubo una tendencia al aumento de pacientes con prescripciones de tecnología no PBS en los casos de cáncer de seno (10%), cervix (9%) y próstata (4%) entre 2020 y abril de 2021. Como en el caso anterior, entre enero y abril de 2021 disminuyeron las prescripciones de cáncer de seno (12%), cérvix (2%), colon (7%) y próstata (7%).</w:t>
      </w:r>
    </w:p>
    <w:p w14:paraId="6019E92B" w14:textId="77777777" w:rsidR="00EA55B2" w:rsidRPr="00EA55B2" w:rsidRDefault="00EA55B2" w:rsidP="00EA55B2">
      <w:pPr>
        <w:spacing w:after="0" w:line="240" w:lineRule="auto"/>
        <w:rPr>
          <w:rFonts w:ascii="Arial" w:hAnsi="Arial" w:cs="Arial"/>
          <w:sz w:val="24"/>
          <w:szCs w:val="24"/>
        </w:rPr>
      </w:pPr>
    </w:p>
    <w:p w14:paraId="5D130E0E" w14:textId="0A88F53D" w:rsidR="00EA55B2" w:rsidRDefault="00EA55B2" w:rsidP="00EA55B2">
      <w:pPr>
        <w:spacing w:after="0" w:line="240" w:lineRule="auto"/>
        <w:rPr>
          <w:rFonts w:ascii="Arial" w:hAnsi="Arial" w:cs="Arial"/>
          <w:b/>
          <w:bCs/>
          <w:sz w:val="24"/>
          <w:szCs w:val="24"/>
        </w:rPr>
      </w:pPr>
      <w:r w:rsidRPr="00EA55B2">
        <w:rPr>
          <w:rFonts w:ascii="Arial" w:hAnsi="Arial" w:cs="Arial"/>
          <w:b/>
          <w:bCs/>
          <w:sz w:val="24"/>
          <w:szCs w:val="24"/>
        </w:rPr>
        <w:t>Comportamiento de prescripciones en pacientes con cáncer, cantidad de pacientes prescritos (2020-2021)</w:t>
      </w:r>
    </w:p>
    <w:p w14:paraId="4334D2CB" w14:textId="77777777" w:rsidR="00EA55B2" w:rsidRPr="00EA55B2" w:rsidRDefault="00EA55B2" w:rsidP="00EA55B2">
      <w:pPr>
        <w:spacing w:after="0" w:line="240" w:lineRule="auto"/>
        <w:rPr>
          <w:rFonts w:ascii="Arial" w:hAnsi="Arial" w:cs="Arial"/>
          <w:b/>
          <w:bCs/>
          <w:sz w:val="24"/>
          <w:szCs w:val="24"/>
        </w:rPr>
      </w:pPr>
    </w:p>
    <w:p w14:paraId="41E9DA56" w14:textId="77777777" w:rsidR="00EA55B2" w:rsidRPr="00EA55B2" w:rsidRDefault="00EA55B2" w:rsidP="00EA55B2">
      <w:pPr>
        <w:spacing w:after="0" w:line="240" w:lineRule="auto"/>
        <w:jc w:val="center"/>
        <w:rPr>
          <w:rFonts w:ascii="Arial" w:hAnsi="Arial" w:cs="Arial"/>
          <w:sz w:val="24"/>
          <w:szCs w:val="24"/>
        </w:rPr>
      </w:pPr>
      <w:r w:rsidRPr="00EA55B2">
        <w:rPr>
          <w:noProof/>
          <w:sz w:val="24"/>
          <w:szCs w:val="24"/>
        </w:rPr>
        <w:lastRenderedPageBreak/>
        <w:drawing>
          <wp:inline distT="0" distB="0" distL="0" distR="0" wp14:anchorId="7BE17548" wp14:editId="135D42D2">
            <wp:extent cx="4353339" cy="2360930"/>
            <wp:effectExtent l="0" t="0" r="9525" b="127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rotWithShape="1">
                    <a:blip r:embed="rId14"/>
                    <a:srcRect l="14754" t="31908" r="27293" b="12222"/>
                    <a:stretch/>
                  </pic:blipFill>
                  <pic:spPr bwMode="auto">
                    <a:xfrm>
                      <a:off x="0" y="0"/>
                      <a:ext cx="4359324" cy="2364176"/>
                    </a:xfrm>
                    <a:prstGeom prst="rect">
                      <a:avLst/>
                    </a:prstGeom>
                    <a:ln>
                      <a:noFill/>
                    </a:ln>
                    <a:extLst>
                      <a:ext uri="{53640926-AAD7-44D8-BBD7-CCE9431645EC}">
                        <a14:shadowObscured xmlns:a14="http://schemas.microsoft.com/office/drawing/2010/main"/>
                      </a:ext>
                    </a:extLst>
                  </pic:spPr>
                </pic:pic>
              </a:graphicData>
            </a:graphic>
          </wp:inline>
        </w:drawing>
      </w:r>
    </w:p>
    <w:p w14:paraId="4F7667C9" w14:textId="6A459599" w:rsidR="00EA55B2" w:rsidRPr="00EA55B2" w:rsidRDefault="00EA55B2" w:rsidP="00EA55B2">
      <w:pPr>
        <w:spacing w:after="0" w:line="240" w:lineRule="auto"/>
        <w:rPr>
          <w:rFonts w:ascii="Arial" w:hAnsi="Arial" w:cs="Arial"/>
          <w:i/>
          <w:iCs/>
          <w:sz w:val="16"/>
          <w:szCs w:val="16"/>
        </w:rPr>
      </w:pPr>
      <w:r w:rsidRPr="00EA55B2">
        <w:rPr>
          <w:rFonts w:ascii="Arial" w:hAnsi="Arial" w:cs="Arial"/>
          <w:sz w:val="24"/>
          <w:szCs w:val="24"/>
        </w:rPr>
        <w:tab/>
      </w:r>
      <w:r w:rsidRPr="00EA55B2">
        <w:rPr>
          <w:rFonts w:ascii="Arial" w:hAnsi="Arial" w:cs="Arial"/>
          <w:i/>
          <w:iCs/>
          <w:sz w:val="16"/>
          <w:szCs w:val="16"/>
        </w:rPr>
        <w:t>Fuente: Pacientes Colombia, (2021).</w:t>
      </w:r>
    </w:p>
    <w:p w14:paraId="0C78764B" w14:textId="77777777" w:rsidR="00EA55B2" w:rsidRPr="00EA55B2" w:rsidRDefault="00EA55B2" w:rsidP="00EA55B2">
      <w:pPr>
        <w:spacing w:after="0" w:line="240" w:lineRule="auto"/>
        <w:rPr>
          <w:rFonts w:ascii="Arial" w:hAnsi="Arial" w:cs="Arial"/>
          <w:i/>
          <w:iCs/>
          <w:sz w:val="24"/>
          <w:szCs w:val="24"/>
        </w:rPr>
      </w:pPr>
    </w:p>
    <w:p w14:paraId="045EE0C9" w14:textId="77777777" w:rsidR="00EA55B2" w:rsidRPr="00EA55B2" w:rsidRDefault="00EA55B2" w:rsidP="00EA55B2">
      <w:pPr>
        <w:pStyle w:val="Prrafodelista"/>
        <w:numPr>
          <w:ilvl w:val="0"/>
          <w:numId w:val="36"/>
        </w:numPr>
        <w:spacing w:after="0" w:line="240" w:lineRule="auto"/>
        <w:jc w:val="both"/>
        <w:rPr>
          <w:rFonts w:ascii="Arial" w:hAnsi="Arial" w:cs="Arial"/>
          <w:sz w:val="24"/>
          <w:szCs w:val="24"/>
        </w:rPr>
      </w:pPr>
      <w:r w:rsidRPr="00EA55B2">
        <w:rPr>
          <w:rFonts w:ascii="Arial" w:hAnsi="Arial" w:cs="Arial"/>
          <w:sz w:val="24"/>
          <w:szCs w:val="24"/>
        </w:rPr>
        <w:t xml:space="preserve">En lo que respecta a los medicamentos entregados, de las 29 mil prescripciones registradas en la plataforma MIPRES, solo 16.650 prescripciones (57.4%) tiene fecha de entrega. </w:t>
      </w:r>
    </w:p>
    <w:p w14:paraId="46E221B6" w14:textId="77777777" w:rsidR="00EA55B2" w:rsidRPr="00EA55B2" w:rsidRDefault="00EA55B2" w:rsidP="00EA55B2">
      <w:pPr>
        <w:pStyle w:val="Prrafodelista"/>
        <w:spacing w:after="0" w:line="240" w:lineRule="auto"/>
        <w:jc w:val="both"/>
        <w:rPr>
          <w:rFonts w:ascii="Arial" w:hAnsi="Arial" w:cs="Arial"/>
          <w:sz w:val="24"/>
          <w:szCs w:val="24"/>
        </w:rPr>
      </w:pPr>
    </w:p>
    <w:p w14:paraId="6C3420C6" w14:textId="77777777" w:rsidR="00EA55B2" w:rsidRPr="00EA55B2" w:rsidRDefault="00EA55B2" w:rsidP="00EA55B2">
      <w:pPr>
        <w:pStyle w:val="Prrafodelista"/>
        <w:numPr>
          <w:ilvl w:val="0"/>
          <w:numId w:val="36"/>
        </w:numPr>
        <w:spacing w:after="0" w:line="240" w:lineRule="auto"/>
        <w:jc w:val="both"/>
        <w:rPr>
          <w:rFonts w:ascii="Arial" w:hAnsi="Arial" w:cs="Arial"/>
          <w:sz w:val="24"/>
          <w:szCs w:val="24"/>
        </w:rPr>
      </w:pPr>
      <w:r w:rsidRPr="00EA55B2">
        <w:rPr>
          <w:rFonts w:ascii="Arial" w:hAnsi="Arial" w:cs="Arial"/>
          <w:sz w:val="24"/>
          <w:szCs w:val="24"/>
        </w:rPr>
        <w:t xml:space="preserve">La EPS que tiene más prescripciones sin fecha de entrega es Nueva EPS (2100) . </w:t>
      </w:r>
    </w:p>
    <w:p w14:paraId="26DA4E15" w14:textId="77777777" w:rsidR="00EA55B2" w:rsidRPr="00EA55B2" w:rsidRDefault="00EA55B2" w:rsidP="00EA55B2">
      <w:pPr>
        <w:pStyle w:val="Prrafodelista"/>
        <w:spacing w:after="0" w:line="240" w:lineRule="auto"/>
        <w:rPr>
          <w:rFonts w:ascii="Arial" w:hAnsi="Arial" w:cs="Arial"/>
          <w:sz w:val="24"/>
          <w:szCs w:val="24"/>
        </w:rPr>
      </w:pPr>
    </w:p>
    <w:p w14:paraId="1FF242BD" w14:textId="77777777" w:rsidR="00EA55B2" w:rsidRPr="00EA55B2" w:rsidRDefault="00EA55B2" w:rsidP="00EA55B2">
      <w:pPr>
        <w:pStyle w:val="Prrafodelista"/>
        <w:numPr>
          <w:ilvl w:val="0"/>
          <w:numId w:val="36"/>
        </w:numPr>
        <w:spacing w:after="0" w:line="240" w:lineRule="auto"/>
        <w:jc w:val="both"/>
        <w:rPr>
          <w:rFonts w:ascii="Arial" w:hAnsi="Arial" w:cs="Arial"/>
          <w:sz w:val="24"/>
          <w:szCs w:val="24"/>
        </w:rPr>
      </w:pPr>
      <w:r w:rsidRPr="00EA55B2">
        <w:rPr>
          <w:rFonts w:ascii="Arial" w:hAnsi="Arial" w:cs="Arial"/>
          <w:sz w:val="24"/>
          <w:szCs w:val="24"/>
        </w:rPr>
        <w:t>Entre 2020 y 2021, el tiempo de entrega de los fármacos fue de 16,66 días, pero entre enero y abril de 2021 el promedio disminuyó a 14 días. La EPS Salud Total es la entidad con mayor tiempo de espera durante este periodo (18 días).</w:t>
      </w:r>
    </w:p>
    <w:p w14:paraId="432BDE7D" w14:textId="77777777" w:rsidR="00EA55B2" w:rsidRPr="00EA55B2" w:rsidRDefault="00EA55B2" w:rsidP="00EA55B2">
      <w:pPr>
        <w:spacing w:after="0" w:line="240" w:lineRule="auto"/>
        <w:rPr>
          <w:rFonts w:ascii="Arial" w:hAnsi="Arial" w:cs="Arial"/>
          <w:sz w:val="24"/>
          <w:szCs w:val="24"/>
        </w:rPr>
      </w:pPr>
    </w:p>
    <w:p w14:paraId="05033A5B" w14:textId="77777777" w:rsidR="00EA55B2" w:rsidRPr="00EA55B2" w:rsidRDefault="00EA55B2" w:rsidP="00EA55B2">
      <w:pPr>
        <w:spacing w:after="0" w:line="240" w:lineRule="auto"/>
        <w:rPr>
          <w:rFonts w:ascii="Arial" w:hAnsi="Arial" w:cs="Arial"/>
          <w:b/>
          <w:bCs/>
          <w:sz w:val="24"/>
          <w:szCs w:val="24"/>
        </w:rPr>
      </w:pPr>
      <w:r w:rsidRPr="00EA55B2">
        <w:rPr>
          <w:rFonts w:ascii="Arial" w:hAnsi="Arial" w:cs="Arial"/>
          <w:b/>
          <w:bCs/>
          <w:sz w:val="24"/>
          <w:szCs w:val="24"/>
        </w:rPr>
        <w:t>Suministro de medicamentos para pacientes con cáncer de seno, pulmón, cérvix, colon, próstata  (enero-abril 2021)</w:t>
      </w:r>
    </w:p>
    <w:p w14:paraId="67E25979" w14:textId="77777777" w:rsidR="00EA55B2" w:rsidRPr="00EA55B2" w:rsidRDefault="00EA55B2" w:rsidP="00EA55B2">
      <w:pPr>
        <w:spacing w:after="0" w:line="240" w:lineRule="auto"/>
        <w:rPr>
          <w:noProof/>
          <w:sz w:val="24"/>
          <w:szCs w:val="24"/>
        </w:rPr>
      </w:pPr>
    </w:p>
    <w:p w14:paraId="718F5B6F" w14:textId="77777777" w:rsidR="00EA55B2" w:rsidRPr="00EA55B2" w:rsidRDefault="00EA55B2" w:rsidP="00EA55B2">
      <w:pPr>
        <w:spacing w:after="0" w:line="240" w:lineRule="auto"/>
        <w:rPr>
          <w:rFonts w:ascii="Arial" w:hAnsi="Arial" w:cs="Arial"/>
          <w:sz w:val="24"/>
          <w:szCs w:val="24"/>
        </w:rPr>
      </w:pPr>
      <w:r w:rsidRPr="00EA55B2">
        <w:rPr>
          <w:noProof/>
          <w:sz w:val="24"/>
          <w:szCs w:val="24"/>
        </w:rPr>
        <w:lastRenderedPageBreak/>
        <w:drawing>
          <wp:inline distT="0" distB="0" distL="0" distR="0" wp14:anchorId="7BD928E9" wp14:editId="55035C71">
            <wp:extent cx="5708218" cy="2441050"/>
            <wp:effectExtent l="0" t="0" r="6985" b="0"/>
            <wp:docPr id="21" name="Picture 2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ebsite&#10;&#10;Description automatically generated"/>
                    <pic:cNvPicPr/>
                  </pic:nvPicPr>
                  <pic:blipFill rotWithShape="1">
                    <a:blip r:embed="rId15"/>
                    <a:srcRect l="14466" t="30605" r="14373" b="15299"/>
                    <a:stretch/>
                  </pic:blipFill>
                  <pic:spPr bwMode="auto">
                    <a:xfrm>
                      <a:off x="0" y="0"/>
                      <a:ext cx="5736870" cy="2453303"/>
                    </a:xfrm>
                    <a:prstGeom prst="rect">
                      <a:avLst/>
                    </a:prstGeom>
                    <a:ln>
                      <a:noFill/>
                    </a:ln>
                    <a:extLst>
                      <a:ext uri="{53640926-AAD7-44D8-BBD7-CCE9431645EC}">
                        <a14:shadowObscured xmlns:a14="http://schemas.microsoft.com/office/drawing/2010/main"/>
                      </a:ext>
                    </a:extLst>
                  </pic:spPr>
                </pic:pic>
              </a:graphicData>
            </a:graphic>
          </wp:inline>
        </w:drawing>
      </w:r>
    </w:p>
    <w:p w14:paraId="23B3A16B" w14:textId="77777777" w:rsidR="00EA55B2" w:rsidRPr="00A07B66" w:rsidRDefault="00EA55B2" w:rsidP="00EA55B2">
      <w:pPr>
        <w:spacing w:after="0" w:line="240" w:lineRule="auto"/>
        <w:rPr>
          <w:rFonts w:ascii="Arial" w:hAnsi="Arial" w:cs="Arial"/>
          <w:i/>
          <w:iCs/>
          <w:sz w:val="20"/>
          <w:szCs w:val="20"/>
        </w:rPr>
      </w:pPr>
      <w:r w:rsidRPr="00A07B66">
        <w:rPr>
          <w:rFonts w:ascii="Arial" w:hAnsi="Arial" w:cs="Arial"/>
          <w:i/>
          <w:iCs/>
          <w:sz w:val="20"/>
          <w:szCs w:val="20"/>
        </w:rPr>
        <w:t>Fuente: Observatorio de Presupuestos Máximos, (2021).</w:t>
      </w:r>
      <w:r w:rsidRPr="00A07B66">
        <w:rPr>
          <w:rStyle w:val="Refdenotaalpie"/>
          <w:rFonts w:ascii="Arial" w:hAnsi="Arial" w:cs="Arial"/>
          <w:i/>
          <w:iCs/>
          <w:sz w:val="20"/>
          <w:szCs w:val="20"/>
        </w:rPr>
        <w:footnoteReference w:id="16"/>
      </w:r>
    </w:p>
    <w:p w14:paraId="3D445585" w14:textId="77777777" w:rsidR="00EA55B2" w:rsidRPr="00EA55B2" w:rsidRDefault="00EA55B2" w:rsidP="00EA55B2">
      <w:pPr>
        <w:spacing w:after="0" w:line="240" w:lineRule="auto"/>
        <w:rPr>
          <w:rFonts w:ascii="Arial" w:hAnsi="Arial" w:cs="Arial"/>
          <w:sz w:val="24"/>
          <w:szCs w:val="24"/>
        </w:rPr>
      </w:pPr>
    </w:p>
    <w:p w14:paraId="0191AC62" w14:textId="77777777" w:rsidR="00EA55B2" w:rsidRPr="00EA55B2" w:rsidRDefault="00EA55B2" w:rsidP="00EA55B2">
      <w:pPr>
        <w:spacing w:after="0" w:line="240" w:lineRule="auto"/>
        <w:rPr>
          <w:rFonts w:ascii="Arial" w:hAnsi="Arial" w:cs="Arial"/>
          <w:sz w:val="24"/>
          <w:szCs w:val="24"/>
        </w:rPr>
      </w:pPr>
      <w:r w:rsidRPr="00EA55B2">
        <w:rPr>
          <w:rFonts w:ascii="Arial" w:hAnsi="Arial" w:cs="Arial"/>
          <w:sz w:val="24"/>
          <w:szCs w:val="24"/>
        </w:rPr>
        <w:t>Po su lado, la Cuenta de Alto Costo ha identificado ciertas oportunidades de mejora en los cánceres más prevalentes en el país para 2020, especialmente sobre la atención al paciente y los tiempos de espera:</w:t>
      </w:r>
    </w:p>
    <w:p w14:paraId="4C8ECFA4" w14:textId="77777777" w:rsidR="00EA55B2" w:rsidRPr="00EA55B2" w:rsidRDefault="00EA55B2" w:rsidP="00EA55B2">
      <w:pPr>
        <w:spacing w:after="0" w:line="240" w:lineRule="auto"/>
        <w:rPr>
          <w:rFonts w:ascii="Arial" w:hAnsi="Arial" w:cs="Arial"/>
          <w:sz w:val="24"/>
          <w:szCs w:val="24"/>
        </w:rPr>
      </w:pPr>
    </w:p>
    <w:p w14:paraId="1DC0AE95" w14:textId="77777777" w:rsidR="00EA55B2" w:rsidRPr="00EA55B2" w:rsidRDefault="00EA55B2" w:rsidP="00EA55B2">
      <w:pPr>
        <w:spacing w:after="0" w:line="240" w:lineRule="auto"/>
        <w:jc w:val="center"/>
        <w:rPr>
          <w:rFonts w:ascii="Arial" w:hAnsi="Arial" w:cs="Arial"/>
          <w:b/>
          <w:bCs/>
          <w:sz w:val="24"/>
          <w:szCs w:val="24"/>
        </w:rPr>
      </w:pPr>
      <w:r w:rsidRPr="00EA55B2">
        <w:rPr>
          <w:rFonts w:ascii="Arial" w:hAnsi="Arial" w:cs="Arial"/>
          <w:b/>
          <w:bCs/>
          <w:sz w:val="24"/>
          <w:szCs w:val="24"/>
        </w:rPr>
        <w:t>Oportunidades de mejora en la gestión del Cáncer</w:t>
      </w:r>
    </w:p>
    <w:p w14:paraId="03F64D92" w14:textId="77777777" w:rsidR="00EA55B2" w:rsidRPr="00EA55B2" w:rsidRDefault="00EA55B2" w:rsidP="00EA55B2">
      <w:pPr>
        <w:spacing w:after="0" w:line="240" w:lineRule="auto"/>
        <w:jc w:val="center"/>
        <w:rPr>
          <w:rFonts w:ascii="Arial" w:hAnsi="Arial" w:cs="Arial"/>
          <w:b/>
          <w:bCs/>
          <w:sz w:val="24"/>
          <w:szCs w:val="24"/>
        </w:rPr>
      </w:pPr>
      <w:r w:rsidRPr="00EA55B2">
        <w:rPr>
          <w:rFonts w:ascii="Arial" w:hAnsi="Arial" w:cs="Arial"/>
          <w:b/>
          <w:bCs/>
          <w:noProof/>
          <w:sz w:val="24"/>
          <w:szCs w:val="24"/>
        </w:rPr>
        <w:drawing>
          <wp:inline distT="0" distB="0" distL="0" distR="0" wp14:anchorId="7CFE472B" wp14:editId="41FD40F2">
            <wp:extent cx="5612130" cy="2519680"/>
            <wp:effectExtent l="0" t="0" r="762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6"/>
                    <a:stretch>
                      <a:fillRect/>
                    </a:stretch>
                  </pic:blipFill>
                  <pic:spPr>
                    <a:xfrm>
                      <a:off x="0" y="0"/>
                      <a:ext cx="5612130" cy="2519680"/>
                    </a:xfrm>
                    <a:prstGeom prst="rect">
                      <a:avLst/>
                    </a:prstGeom>
                  </pic:spPr>
                </pic:pic>
              </a:graphicData>
            </a:graphic>
          </wp:inline>
        </w:drawing>
      </w:r>
    </w:p>
    <w:p w14:paraId="1B0A7970" w14:textId="77777777" w:rsidR="00EA55B2" w:rsidRPr="00C10A49" w:rsidRDefault="00EA55B2" w:rsidP="00EA55B2">
      <w:pPr>
        <w:spacing w:after="0" w:line="240" w:lineRule="auto"/>
        <w:rPr>
          <w:rFonts w:ascii="Arial" w:hAnsi="Arial" w:cs="Arial"/>
          <w:i/>
          <w:iCs/>
          <w:sz w:val="20"/>
          <w:szCs w:val="20"/>
        </w:rPr>
      </w:pPr>
      <w:r w:rsidRPr="00C10A49">
        <w:rPr>
          <w:rFonts w:ascii="Arial" w:hAnsi="Arial" w:cs="Arial"/>
          <w:i/>
          <w:iCs/>
          <w:sz w:val="20"/>
          <w:szCs w:val="20"/>
        </w:rPr>
        <w:t>Fuente: Cuenta de Alto Costo, 2021</w:t>
      </w:r>
      <w:r w:rsidRPr="00C10A49">
        <w:rPr>
          <w:rStyle w:val="Refdenotaalpie"/>
          <w:rFonts w:ascii="Arial" w:hAnsi="Arial" w:cs="Arial"/>
          <w:i/>
          <w:iCs/>
          <w:sz w:val="20"/>
          <w:szCs w:val="20"/>
        </w:rPr>
        <w:footnoteReference w:id="17"/>
      </w:r>
    </w:p>
    <w:p w14:paraId="5B494A46" w14:textId="77777777" w:rsidR="00EA55B2" w:rsidRDefault="00EA55B2" w:rsidP="00083FA8">
      <w:pPr>
        <w:spacing w:after="0" w:line="240" w:lineRule="auto"/>
        <w:rPr>
          <w:rFonts w:ascii="Arial" w:hAnsi="Arial" w:cs="Arial"/>
          <w:sz w:val="24"/>
          <w:szCs w:val="24"/>
        </w:rPr>
      </w:pPr>
    </w:p>
    <w:p w14:paraId="0EB89026" w14:textId="77777777" w:rsidR="00822B35" w:rsidRDefault="00822B35" w:rsidP="00083FA8">
      <w:pPr>
        <w:spacing w:after="0" w:line="240" w:lineRule="auto"/>
        <w:rPr>
          <w:rFonts w:ascii="Arial" w:hAnsi="Arial" w:cs="Arial"/>
          <w:sz w:val="24"/>
          <w:szCs w:val="24"/>
        </w:rPr>
      </w:pPr>
    </w:p>
    <w:p w14:paraId="2AD04CA7" w14:textId="77777777" w:rsidR="00822B35" w:rsidRPr="00476CF4" w:rsidRDefault="00822B35" w:rsidP="00083FA8">
      <w:pPr>
        <w:spacing w:after="0" w:line="240" w:lineRule="auto"/>
        <w:rPr>
          <w:rFonts w:ascii="Arial" w:hAnsi="Arial" w:cs="Arial"/>
          <w:sz w:val="24"/>
          <w:szCs w:val="24"/>
        </w:rPr>
      </w:pPr>
    </w:p>
    <w:p w14:paraId="024FE38A" w14:textId="4DD8CFEB" w:rsidR="00390D9D" w:rsidRDefault="00390D9D" w:rsidP="00083FA8">
      <w:pPr>
        <w:pBdr>
          <w:top w:val="nil"/>
          <w:left w:val="nil"/>
          <w:bottom w:val="nil"/>
          <w:right w:val="nil"/>
          <w:between w:val="nil"/>
        </w:pBdr>
        <w:spacing w:after="0" w:line="240" w:lineRule="auto"/>
        <w:jc w:val="left"/>
        <w:rPr>
          <w:rFonts w:ascii="Arial" w:eastAsia="Arial" w:hAnsi="Arial" w:cs="Arial"/>
          <w:b/>
          <w:color w:val="000000" w:themeColor="text1"/>
          <w:sz w:val="24"/>
          <w:szCs w:val="24"/>
        </w:rPr>
      </w:pPr>
    </w:p>
    <w:p w14:paraId="139E2B33" w14:textId="151B0F6C" w:rsidR="0060437D" w:rsidRPr="00045F8F" w:rsidRDefault="0060437D" w:rsidP="0060437D">
      <w:pPr>
        <w:numPr>
          <w:ilvl w:val="0"/>
          <w:numId w:val="6"/>
        </w:numPr>
        <w:pBdr>
          <w:top w:val="nil"/>
          <w:left w:val="nil"/>
          <w:bottom w:val="nil"/>
          <w:right w:val="nil"/>
          <w:between w:val="nil"/>
        </w:pBdr>
        <w:spacing w:after="0" w:line="240" w:lineRule="auto"/>
        <w:jc w:val="left"/>
        <w:rPr>
          <w:rFonts w:ascii="Arial" w:eastAsia="Arial" w:hAnsi="Arial" w:cs="Arial"/>
          <w:b/>
          <w:color w:val="000000" w:themeColor="text1"/>
          <w:sz w:val="24"/>
          <w:szCs w:val="24"/>
        </w:rPr>
      </w:pPr>
      <w:r w:rsidRPr="00045F8F">
        <w:rPr>
          <w:rFonts w:ascii="Arial" w:eastAsia="Arial" w:hAnsi="Arial" w:cs="Arial"/>
          <w:b/>
          <w:color w:val="000000" w:themeColor="text1"/>
          <w:sz w:val="24"/>
          <w:szCs w:val="24"/>
        </w:rPr>
        <w:lastRenderedPageBreak/>
        <w:t>PROPOSICIÓN</w:t>
      </w:r>
    </w:p>
    <w:p w14:paraId="35EC0CBC" w14:textId="77777777" w:rsidR="0060437D" w:rsidRPr="00045F8F" w:rsidRDefault="0060437D" w:rsidP="0060437D">
      <w:pPr>
        <w:pBdr>
          <w:top w:val="nil"/>
          <w:left w:val="nil"/>
          <w:bottom w:val="nil"/>
          <w:right w:val="nil"/>
          <w:between w:val="nil"/>
        </w:pBdr>
        <w:spacing w:after="0" w:line="240" w:lineRule="auto"/>
        <w:ind w:left="102" w:hanging="102"/>
        <w:rPr>
          <w:rFonts w:ascii="Arial" w:eastAsia="Arial" w:hAnsi="Arial" w:cs="Arial"/>
          <w:color w:val="000000" w:themeColor="text1"/>
          <w:sz w:val="24"/>
          <w:szCs w:val="24"/>
        </w:rPr>
      </w:pPr>
    </w:p>
    <w:p w14:paraId="3BB14D88" w14:textId="038CA42A" w:rsidR="0060437D"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r w:rsidRPr="00045F8F">
        <w:rPr>
          <w:rFonts w:ascii="Arial" w:eastAsia="Arial" w:hAnsi="Arial" w:cs="Arial"/>
          <w:color w:val="000000" w:themeColor="text1"/>
          <w:sz w:val="24"/>
          <w:szCs w:val="24"/>
        </w:rPr>
        <w:t>Con fundamento en las ante</w:t>
      </w:r>
      <w:r>
        <w:rPr>
          <w:rFonts w:ascii="Arial" w:eastAsia="Arial" w:hAnsi="Arial" w:cs="Arial"/>
          <w:color w:val="000000" w:themeColor="text1"/>
          <w:sz w:val="24"/>
          <w:szCs w:val="24"/>
        </w:rPr>
        <w:t>riores consideraciones, solicitamos</w:t>
      </w:r>
      <w:r w:rsidRPr="00045F8F">
        <w:rPr>
          <w:rFonts w:ascii="Arial" w:eastAsia="Arial" w:hAnsi="Arial" w:cs="Arial"/>
          <w:color w:val="000000" w:themeColor="text1"/>
          <w:sz w:val="24"/>
          <w:szCs w:val="24"/>
        </w:rPr>
        <w:t xml:space="preserve"> a los H. Representantes de la </w:t>
      </w:r>
      <w:r w:rsidR="00AE5FCA">
        <w:rPr>
          <w:rFonts w:ascii="Arial" w:eastAsia="Arial" w:hAnsi="Arial" w:cs="Arial"/>
          <w:color w:val="000000" w:themeColor="text1"/>
          <w:sz w:val="24"/>
          <w:szCs w:val="24"/>
        </w:rPr>
        <w:t xml:space="preserve">Plenaria </w:t>
      </w:r>
      <w:r w:rsidRPr="00045F8F">
        <w:rPr>
          <w:rFonts w:ascii="Arial" w:eastAsia="Arial" w:hAnsi="Arial" w:cs="Arial"/>
          <w:color w:val="000000" w:themeColor="text1"/>
          <w:sz w:val="24"/>
          <w:szCs w:val="24"/>
        </w:rPr>
        <w:t xml:space="preserve">de la Cámara de Representantes, debatir y aprobar en </w:t>
      </w:r>
      <w:r w:rsidR="00AE5FCA">
        <w:rPr>
          <w:rFonts w:ascii="Arial" w:eastAsia="Arial" w:hAnsi="Arial" w:cs="Arial"/>
          <w:color w:val="000000" w:themeColor="text1"/>
          <w:sz w:val="24"/>
          <w:szCs w:val="24"/>
        </w:rPr>
        <w:t xml:space="preserve">segundo </w:t>
      </w:r>
      <w:r>
        <w:rPr>
          <w:rFonts w:ascii="Arial" w:eastAsia="Arial" w:hAnsi="Arial" w:cs="Arial"/>
          <w:color w:val="000000" w:themeColor="text1"/>
          <w:sz w:val="24"/>
          <w:szCs w:val="24"/>
        </w:rPr>
        <w:t xml:space="preserve">debate, el Proyecto de Ley </w:t>
      </w:r>
      <w:r w:rsidRPr="00045F8F">
        <w:rPr>
          <w:rFonts w:ascii="Arial" w:eastAsia="Arial" w:hAnsi="Arial" w:cs="Arial"/>
          <w:b/>
          <w:color w:val="000000" w:themeColor="text1"/>
          <w:sz w:val="24"/>
          <w:szCs w:val="24"/>
        </w:rPr>
        <w:t xml:space="preserve">No. </w:t>
      </w:r>
      <w:r w:rsidR="00B97333" w:rsidRPr="000B7909">
        <w:rPr>
          <w:rFonts w:ascii="Arial" w:eastAsia="Calibri" w:hAnsi="Arial" w:cs="Arial"/>
          <w:b/>
          <w:color w:val="000000" w:themeColor="text1"/>
          <w:sz w:val="24"/>
          <w:szCs w:val="24"/>
          <w:lang w:eastAsia="es-ES_tradnl"/>
        </w:rPr>
        <w:t xml:space="preserve">258 DE 2020 CÁMARA </w:t>
      </w:r>
      <w:r w:rsidR="00B97333" w:rsidRPr="000B7909">
        <w:rPr>
          <w:rFonts w:ascii="Arial" w:eastAsia="Calibri" w:hAnsi="Arial" w:cs="Arial"/>
          <w:color w:val="000000" w:themeColor="text1"/>
          <w:sz w:val="24"/>
          <w:szCs w:val="24"/>
          <w:lang w:eastAsia="es-ES_tradnl"/>
        </w:rPr>
        <w:t>“Por medio de la cual se modifica la Ley 1384 de 2010, se adopta el enfoque de alta carga de la enfermedad para la atención de pacientes con cáncer y se dictan otras disposiciones”</w:t>
      </w:r>
      <w:r w:rsidRPr="00045F8F">
        <w:rPr>
          <w:rFonts w:ascii="Arial" w:eastAsia="Arial" w:hAnsi="Arial" w:cs="Arial"/>
          <w:i/>
          <w:color w:val="000000" w:themeColor="text1"/>
          <w:sz w:val="24"/>
          <w:szCs w:val="24"/>
        </w:rPr>
        <w:t xml:space="preserve">, </w:t>
      </w:r>
      <w:r w:rsidRPr="00045F8F">
        <w:rPr>
          <w:rFonts w:ascii="Arial" w:eastAsia="Arial" w:hAnsi="Arial" w:cs="Arial"/>
          <w:color w:val="000000" w:themeColor="text1"/>
          <w:sz w:val="24"/>
          <w:szCs w:val="24"/>
        </w:rPr>
        <w:t xml:space="preserve">con base en el texto adjunto. </w:t>
      </w:r>
    </w:p>
    <w:p w14:paraId="1BF82DF4" w14:textId="6A1975A2" w:rsidR="0060437D" w:rsidRPr="00045F8F" w:rsidRDefault="0060437D" w:rsidP="0060437D">
      <w:pPr>
        <w:pBdr>
          <w:top w:val="nil"/>
          <w:left w:val="nil"/>
          <w:bottom w:val="nil"/>
          <w:right w:val="nil"/>
          <w:between w:val="nil"/>
        </w:pBdr>
        <w:spacing w:after="0" w:line="240" w:lineRule="auto"/>
        <w:rPr>
          <w:rFonts w:ascii="Arial" w:eastAsia="Arial" w:hAnsi="Arial" w:cs="Arial"/>
          <w:color w:val="000000" w:themeColor="text1"/>
          <w:sz w:val="24"/>
          <w:szCs w:val="24"/>
        </w:rPr>
      </w:pPr>
    </w:p>
    <w:p w14:paraId="10F318E4" w14:textId="07EBB12B" w:rsidR="00BB2D1C" w:rsidRPr="00045F8F" w:rsidRDefault="00212A5B" w:rsidP="00BB2D1C">
      <w:pPr>
        <w:rPr>
          <w:rFonts w:ascii="Arial" w:eastAsia="Arial" w:hAnsi="Arial" w:cs="Arial"/>
          <w:color w:val="000000" w:themeColor="text1"/>
          <w:sz w:val="24"/>
          <w:szCs w:val="24"/>
        </w:rPr>
      </w:pPr>
      <w:r>
        <w:rPr>
          <w:rFonts w:ascii="Arial" w:eastAsia="Arial" w:hAnsi="Arial" w:cs="Arial"/>
          <w:b/>
          <w:noProof/>
          <w:color w:val="000000" w:themeColor="text1"/>
          <w:sz w:val="24"/>
          <w:szCs w:val="24"/>
        </w:rPr>
        <w:drawing>
          <wp:anchor distT="0" distB="0" distL="114300" distR="114300" simplePos="0" relativeHeight="251684864" behindDoc="1" locked="0" layoutInCell="1" allowOverlap="1" wp14:anchorId="1328DF88" wp14:editId="2422B2E6">
            <wp:simplePos x="0" y="0"/>
            <wp:positionH relativeFrom="column">
              <wp:posOffset>3644900</wp:posOffset>
            </wp:positionH>
            <wp:positionV relativeFrom="paragraph">
              <wp:posOffset>26670</wp:posOffset>
            </wp:positionV>
            <wp:extent cx="1610360" cy="12217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JEB.png"/>
                    <pic:cNvPicPr/>
                  </pic:nvPicPr>
                  <pic:blipFill>
                    <a:blip r:embed="rId17">
                      <a:extLst>
                        <a:ext uri="{28A0092B-C50C-407E-A947-70E740481C1C}">
                          <a14:useLocalDpi xmlns:a14="http://schemas.microsoft.com/office/drawing/2010/main" val="0"/>
                        </a:ext>
                      </a:extLst>
                    </a:blip>
                    <a:stretch>
                      <a:fillRect/>
                    </a:stretch>
                  </pic:blipFill>
                  <pic:spPr>
                    <a:xfrm>
                      <a:off x="0" y="0"/>
                      <a:ext cx="1610360" cy="1221740"/>
                    </a:xfrm>
                    <a:prstGeom prst="rect">
                      <a:avLst/>
                    </a:prstGeom>
                  </pic:spPr>
                </pic:pic>
              </a:graphicData>
            </a:graphic>
            <wp14:sizeRelH relativeFrom="page">
              <wp14:pctWidth>0</wp14:pctWidth>
            </wp14:sizeRelH>
            <wp14:sizeRelV relativeFrom="page">
              <wp14:pctHeight>0</wp14:pctHeight>
            </wp14:sizeRelV>
          </wp:anchor>
        </w:drawing>
      </w:r>
      <w:r w:rsidR="00BB2D1C">
        <w:rPr>
          <w:rFonts w:ascii="Arial" w:eastAsia="Arial" w:hAnsi="Arial" w:cs="Arial"/>
          <w:b/>
          <w:noProof/>
          <w:color w:val="000000" w:themeColor="text1"/>
          <w:sz w:val="24"/>
          <w:szCs w:val="24"/>
        </w:rPr>
        <w:drawing>
          <wp:anchor distT="0" distB="0" distL="114300" distR="114300" simplePos="0" relativeHeight="251691008" behindDoc="1" locked="0" layoutInCell="1" allowOverlap="1" wp14:anchorId="3F1716CF" wp14:editId="73D2C835">
            <wp:simplePos x="0" y="0"/>
            <wp:positionH relativeFrom="column">
              <wp:posOffset>3415665</wp:posOffset>
            </wp:positionH>
            <wp:positionV relativeFrom="paragraph">
              <wp:posOffset>139065</wp:posOffset>
            </wp:positionV>
            <wp:extent cx="1844675" cy="139954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JEB.png"/>
                    <pic:cNvPicPr/>
                  </pic:nvPicPr>
                  <pic:blipFill>
                    <a:blip r:embed="rId17">
                      <a:extLst>
                        <a:ext uri="{28A0092B-C50C-407E-A947-70E740481C1C}">
                          <a14:useLocalDpi xmlns:a14="http://schemas.microsoft.com/office/drawing/2010/main" val="0"/>
                        </a:ext>
                      </a:extLst>
                    </a:blip>
                    <a:stretch>
                      <a:fillRect/>
                    </a:stretch>
                  </pic:blipFill>
                  <pic:spPr>
                    <a:xfrm>
                      <a:off x="0" y="0"/>
                      <a:ext cx="1844675" cy="139954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BB2D1C" w:rsidRPr="00045F8F">
        <w:rPr>
          <w:rFonts w:ascii="Arial" w:eastAsia="Arial" w:hAnsi="Arial" w:cs="Arial"/>
          <w:color w:val="000000" w:themeColor="text1"/>
          <w:sz w:val="24"/>
          <w:szCs w:val="24"/>
        </w:rPr>
        <w:t>D</w:t>
      </w:r>
      <w:r w:rsidR="00BB2D1C">
        <w:rPr>
          <w:rFonts w:ascii="Arial" w:eastAsia="Arial" w:hAnsi="Arial" w:cs="Arial"/>
          <w:color w:val="000000" w:themeColor="text1"/>
          <w:sz w:val="24"/>
          <w:szCs w:val="24"/>
        </w:rPr>
        <w:t>e los Honorables Representantes,</w:t>
      </w:r>
    </w:p>
    <w:p w14:paraId="590EA151" w14:textId="77777777" w:rsidR="00BB2D1C" w:rsidRDefault="00BB2D1C" w:rsidP="00BB2D1C">
      <w:pPr>
        <w:jc w:val="center"/>
        <w:rPr>
          <w:rFonts w:ascii="Arial" w:eastAsia="Arial" w:hAnsi="Arial" w:cs="Arial"/>
          <w:b/>
          <w:color w:val="000000" w:themeColor="text1"/>
          <w:sz w:val="24"/>
          <w:szCs w:val="24"/>
        </w:rPr>
      </w:pPr>
      <w:r w:rsidRPr="00E931FC">
        <w:rPr>
          <w:rFonts w:ascii="Arial" w:eastAsia="Arial" w:hAnsi="Arial" w:cs="Arial"/>
          <w:b/>
          <w:noProof/>
          <w:color w:val="000000" w:themeColor="text1"/>
          <w:sz w:val="24"/>
          <w:szCs w:val="24"/>
        </w:rPr>
        <w:drawing>
          <wp:anchor distT="0" distB="0" distL="114300" distR="114300" simplePos="0" relativeHeight="251693056" behindDoc="1" locked="0" layoutInCell="1" allowOverlap="1" wp14:anchorId="78577E41" wp14:editId="4F937E1F">
            <wp:simplePos x="0" y="0"/>
            <wp:positionH relativeFrom="column">
              <wp:posOffset>491490</wp:posOffset>
            </wp:positionH>
            <wp:positionV relativeFrom="paragraph">
              <wp:posOffset>13970</wp:posOffset>
            </wp:positionV>
            <wp:extent cx="561975" cy="1136532"/>
            <wp:effectExtent l="0" t="0" r="0" b="6985"/>
            <wp:wrapNone/>
            <wp:docPr id="16" name="Imagen 16" descr="C:\Users\Paula.arenas\Documents\firma JL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arenas\Documents\firma JLC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1136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F8D00" w14:textId="77777777" w:rsidR="00BB2D1C" w:rsidRDefault="00BB2D1C" w:rsidP="00BB2D1C">
      <w:pPr>
        <w:jc w:val="center"/>
        <w:rPr>
          <w:rFonts w:ascii="Arial" w:eastAsia="Arial" w:hAnsi="Arial" w:cs="Arial"/>
          <w:b/>
          <w:color w:val="000000" w:themeColor="text1"/>
          <w:sz w:val="24"/>
          <w:szCs w:val="24"/>
        </w:rPr>
      </w:pPr>
    </w:p>
    <w:p w14:paraId="03E0F40C" w14:textId="77777777" w:rsidR="00BB2D1C" w:rsidRPr="00045F8F" w:rsidRDefault="00BB2D1C" w:rsidP="00BB2D1C">
      <w:pPr>
        <w:rPr>
          <w:rFonts w:ascii="Arial" w:eastAsia="Arial" w:hAnsi="Arial" w:cs="Arial"/>
          <w:b/>
          <w:color w:val="000000" w:themeColor="text1"/>
          <w:sz w:val="24"/>
          <w:szCs w:val="24"/>
        </w:rPr>
      </w:pPr>
    </w:p>
    <w:p w14:paraId="67FF28EE" w14:textId="77777777" w:rsidR="00BB2D1C" w:rsidRPr="00D33317" w:rsidRDefault="00BB2D1C" w:rsidP="00BB2D1C">
      <w:pPr>
        <w:pBdr>
          <w:top w:val="nil"/>
          <w:left w:val="nil"/>
          <w:bottom w:val="nil"/>
          <w:right w:val="nil"/>
          <w:between w:val="nil"/>
        </w:pBdr>
        <w:spacing w:after="0" w:line="240" w:lineRule="auto"/>
        <w:rPr>
          <w:rFonts w:ascii="Arial" w:eastAsia="Arial" w:hAnsi="Arial" w:cs="Arial"/>
          <w:b/>
          <w:color w:val="000000" w:themeColor="text1"/>
          <w:sz w:val="24"/>
          <w:szCs w:val="24"/>
        </w:rPr>
      </w:pPr>
      <w:r w:rsidRPr="00D33317">
        <w:rPr>
          <w:rFonts w:ascii="Arial" w:eastAsia="Arial" w:hAnsi="Arial" w:cs="Arial"/>
          <w:b/>
          <w:color w:val="000000" w:themeColor="text1"/>
          <w:sz w:val="24"/>
          <w:szCs w:val="24"/>
        </w:rPr>
        <w:t>JOSE LUIS CORREA LOPEZ</w:t>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t>JORGE ENRIQUE BENEDETTI M.</w:t>
      </w:r>
    </w:p>
    <w:p w14:paraId="42D2119F" w14:textId="77777777" w:rsidR="00BB2D1C" w:rsidRPr="00D33317" w:rsidRDefault="00BB2D1C" w:rsidP="00BB2D1C">
      <w:pPr>
        <w:pBdr>
          <w:top w:val="nil"/>
          <w:left w:val="nil"/>
          <w:bottom w:val="nil"/>
          <w:right w:val="nil"/>
          <w:between w:val="nil"/>
        </w:pBdr>
        <w:spacing w:after="0" w:line="240" w:lineRule="auto"/>
        <w:rPr>
          <w:rFonts w:ascii="Arial" w:eastAsia="Arial" w:hAnsi="Arial" w:cs="Arial"/>
          <w:color w:val="000000" w:themeColor="text1"/>
          <w:sz w:val="24"/>
          <w:szCs w:val="24"/>
        </w:rPr>
      </w:pPr>
      <w:r w:rsidRPr="00D33317">
        <w:rPr>
          <w:rFonts w:ascii="Arial" w:eastAsia="Arial" w:hAnsi="Arial" w:cs="Arial"/>
          <w:color w:val="000000" w:themeColor="text1"/>
          <w:sz w:val="24"/>
          <w:szCs w:val="24"/>
        </w:rPr>
        <w:t>Coordinador Ponente</w:t>
      </w:r>
      <w:r w:rsidRPr="00D33317">
        <w:rPr>
          <w:rFonts w:ascii="Arial" w:eastAsia="Arial" w:hAnsi="Arial" w:cs="Arial"/>
          <w:color w:val="000000" w:themeColor="text1"/>
          <w:sz w:val="24"/>
          <w:szCs w:val="24"/>
        </w:rPr>
        <w:tab/>
      </w:r>
      <w:r w:rsidRPr="00D33317">
        <w:rPr>
          <w:rFonts w:ascii="Arial" w:eastAsia="Arial" w:hAnsi="Arial" w:cs="Arial"/>
          <w:color w:val="000000" w:themeColor="text1"/>
          <w:sz w:val="24"/>
          <w:szCs w:val="24"/>
        </w:rPr>
        <w:tab/>
      </w:r>
      <w:r w:rsidRPr="00D33317">
        <w:rPr>
          <w:rFonts w:ascii="Arial" w:eastAsia="Arial" w:hAnsi="Arial" w:cs="Arial"/>
          <w:color w:val="000000" w:themeColor="text1"/>
          <w:sz w:val="24"/>
          <w:szCs w:val="24"/>
        </w:rPr>
        <w:tab/>
      </w:r>
      <w:r w:rsidRPr="00D33317">
        <w:rPr>
          <w:rFonts w:ascii="Arial" w:eastAsia="Arial" w:hAnsi="Arial" w:cs="Arial"/>
          <w:color w:val="000000" w:themeColor="text1"/>
          <w:sz w:val="24"/>
          <w:szCs w:val="24"/>
        </w:rPr>
        <w:tab/>
        <w:t>Ponente</w:t>
      </w:r>
    </w:p>
    <w:p w14:paraId="0FFACE77" w14:textId="77777777" w:rsidR="00BB2D1C" w:rsidRDefault="00BB2D1C" w:rsidP="00BB2D1C">
      <w:pPr>
        <w:pBdr>
          <w:top w:val="nil"/>
          <w:left w:val="nil"/>
          <w:bottom w:val="nil"/>
          <w:right w:val="nil"/>
          <w:between w:val="nil"/>
        </w:pBdr>
        <w:spacing w:after="0" w:line="240" w:lineRule="auto"/>
        <w:rPr>
          <w:rFonts w:ascii="Arial" w:eastAsia="Arial" w:hAnsi="Arial" w:cs="Arial"/>
          <w:color w:val="000000" w:themeColor="text1"/>
          <w:sz w:val="24"/>
          <w:szCs w:val="24"/>
        </w:rPr>
      </w:pPr>
      <w:r>
        <w:rPr>
          <w:rFonts w:ascii="Arial" w:eastAsia="Arial" w:hAnsi="Arial" w:cs="Arial"/>
          <w:noProof/>
          <w:color w:val="000000" w:themeColor="text1"/>
          <w:sz w:val="24"/>
          <w:szCs w:val="24"/>
        </w:rPr>
        <w:drawing>
          <wp:anchor distT="0" distB="0" distL="114300" distR="114300" simplePos="0" relativeHeight="251692032" behindDoc="1" locked="0" layoutInCell="1" allowOverlap="1" wp14:anchorId="685A4480" wp14:editId="6A02C926">
            <wp:simplePos x="0" y="0"/>
            <wp:positionH relativeFrom="margin">
              <wp:posOffset>1400175</wp:posOffset>
            </wp:positionH>
            <wp:positionV relativeFrom="paragraph">
              <wp:posOffset>26035</wp:posOffset>
            </wp:positionV>
            <wp:extent cx="2781300" cy="88392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JAIRO.png"/>
                    <pic:cNvPicPr/>
                  </pic:nvPicPr>
                  <pic:blipFill>
                    <a:blip r:embed="rId19">
                      <a:extLst>
                        <a:ext uri="{28A0092B-C50C-407E-A947-70E740481C1C}">
                          <a14:useLocalDpi xmlns:a14="http://schemas.microsoft.com/office/drawing/2010/main" val="0"/>
                        </a:ext>
                      </a:extLst>
                    </a:blip>
                    <a:stretch>
                      <a:fillRect/>
                    </a:stretch>
                  </pic:blipFill>
                  <pic:spPr>
                    <a:xfrm>
                      <a:off x="0" y="0"/>
                      <a:ext cx="2781300" cy="883920"/>
                    </a:xfrm>
                    <a:prstGeom prst="rect">
                      <a:avLst/>
                    </a:prstGeom>
                  </pic:spPr>
                </pic:pic>
              </a:graphicData>
            </a:graphic>
          </wp:anchor>
        </w:drawing>
      </w:r>
    </w:p>
    <w:p w14:paraId="23CF6C92" w14:textId="77777777" w:rsidR="00BB2D1C" w:rsidRDefault="00BB2D1C" w:rsidP="00BB2D1C">
      <w:pPr>
        <w:pBdr>
          <w:top w:val="nil"/>
          <w:left w:val="nil"/>
          <w:bottom w:val="nil"/>
          <w:right w:val="nil"/>
          <w:between w:val="nil"/>
        </w:pBdr>
        <w:spacing w:after="0" w:line="240" w:lineRule="auto"/>
        <w:rPr>
          <w:rFonts w:ascii="Arial" w:eastAsia="Arial" w:hAnsi="Arial" w:cs="Arial"/>
          <w:color w:val="000000" w:themeColor="text1"/>
          <w:sz w:val="24"/>
          <w:szCs w:val="24"/>
        </w:rPr>
      </w:pPr>
    </w:p>
    <w:p w14:paraId="6784DF80" w14:textId="77777777" w:rsidR="00BB2D1C" w:rsidRDefault="00BB2D1C" w:rsidP="00BB2D1C">
      <w:pPr>
        <w:pBdr>
          <w:top w:val="nil"/>
          <w:left w:val="nil"/>
          <w:bottom w:val="nil"/>
          <w:right w:val="nil"/>
          <w:between w:val="nil"/>
        </w:pBdr>
        <w:spacing w:after="0" w:line="240" w:lineRule="auto"/>
        <w:rPr>
          <w:rFonts w:ascii="Arial" w:eastAsia="Arial" w:hAnsi="Arial" w:cs="Arial"/>
          <w:color w:val="000000" w:themeColor="text1"/>
          <w:sz w:val="24"/>
          <w:szCs w:val="24"/>
        </w:rPr>
      </w:pPr>
    </w:p>
    <w:p w14:paraId="6F7F0FC2" w14:textId="77777777" w:rsidR="00BB2D1C" w:rsidRDefault="00BB2D1C" w:rsidP="00BB2D1C">
      <w:pPr>
        <w:pBdr>
          <w:top w:val="nil"/>
          <w:left w:val="nil"/>
          <w:bottom w:val="nil"/>
          <w:right w:val="nil"/>
          <w:between w:val="nil"/>
        </w:pBdr>
        <w:spacing w:after="0" w:line="240" w:lineRule="auto"/>
        <w:jc w:val="center"/>
        <w:rPr>
          <w:rFonts w:ascii="Arial" w:eastAsia="Arial" w:hAnsi="Arial" w:cs="Arial"/>
          <w:b/>
          <w:bCs/>
          <w:color w:val="000000" w:themeColor="text1"/>
          <w:sz w:val="24"/>
          <w:szCs w:val="24"/>
        </w:rPr>
      </w:pPr>
      <w:r>
        <w:rPr>
          <w:rFonts w:ascii="Arial" w:eastAsia="Arial" w:hAnsi="Arial" w:cs="Arial"/>
          <w:b/>
          <w:bCs/>
          <w:color w:val="000000" w:themeColor="text1"/>
          <w:sz w:val="24"/>
          <w:szCs w:val="24"/>
        </w:rPr>
        <w:t>JAIRO REINALDO CALA SUAREZ</w:t>
      </w:r>
    </w:p>
    <w:p w14:paraId="788C72A5" w14:textId="77777777" w:rsidR="00BB2D1C" w:rsidRPr="00B26D55" w:rsidRDefault="00BB2D1C" w:rsidP="00BB2D1C">
      <w:pPr>
        <w:pBdr>
          <w:top w:val="nil"/>
          <w:left w:val="nil"/>
          <w:bottom w:val="nil"/>
          <w:right w:val="nil"/>
          <w:between w:val="nil"/>
        </w:pBdr>
        <w:spacing w:after="0" w:line="240" w:lineRule="auto"/>
        <w:jc w:val="center"/>
        <w:rPr>
          <w:rFonts w:ascii="Arial" w:eastAsia="Arial" w:hAnsi="Arial" w:cs="Arial"/>
          <w:color w:val="000000" w:themeColor="text1"/>
          <w:sz w:val="24"/>
          <w:szCs w:val="24"/>
        </w:rPr>
      </w:pPr>
      <w:r>
        <w:rPr>
          <w:rFonts w:ascii="Arial" w:eastAsia="Arial" w:hAnsi="Arial" w:cs="Arial"/>
          <w:color w:val="000000" w:themeColor="text1"/>
          <w:sz w:val="24"/>
          <w:szCs w:val="24"/>
        </w:rPr>
        <w:t>Ponente</w:t>
      </w:r>
    </w:p>
    <w:p w14:paraId="6BCBF17F" w14:textId="77777777" w:rsidR="0060437D" w:rsidRPr="00D15126" w:rsidRDefault="0060437D"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79576D9F" w14:textId="71ABE4DA" w:rsidR="00FC217E" w:rsidRDefault="00FC217E"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1083EE31" w14:textId="77777777" w:rsidR="00FC217E" w:rsidRDefault="00FC217E"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3FBE1D50"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2B9EAA00"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0CE1BE49"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7E4E6F7F"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195B6277"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7BF96661"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1A6B890C"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702C33EB"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65AD3941"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0CB9C578"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24C06A17"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5686D4E9"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397648C5"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6CE66F59"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4AF2A593"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39405FEF"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0C176E77"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4B9DA72C" w14:textId="77777777" w:rsidR="008C21CF" w:rsidRDefault="008C21CF"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14197850" w14:textId="77777777" w:rsidR="00822B35" w:rsidRDefault="00822B35"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1E2E250E" w14:textId="11BAF034" w:rsidR="0060437D" w:rsidRPr="00D15126" w:rsidRDefault="0060437D" w:rsidP="00D151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r w:rsidRPr="00D15126">
        <w:rPr>
          <w:rFonts w:ascii="Arial" w:eastAsia="Arial" w:hAnsi="Arial" w:cs="Arial"/>
          <w:b/>
          <w:color w:val="000000" w:themeColor="text1"/>
          <w:sz w:val="24"/>
          <w:szCs w:val="24"/>
        </w:rPr>
        <w:t xml:space="preserve">TEXTO PROPUESTO PARA </w:t>
      </w:r>
      <w:r w:rsidR="00F019B2">
        <w:rPr>
          <w:rFonts w:ascii="Arial" w:eastAsia="Arial" w:hAnsi="Arial" w:cs="Arial"/>
          <w:b/>
          <w:color w:val="000000" w:themeColor="text1"/>
          <w:sz w:val="24"/>
          <w:szCs w:val="24"/>
        </w:rPr>
        <w:t xml:space="preserve">SEGUNDO </w:t>
      </w:r>
      <w:r w:rsidRPr="00D15126">
        <w:rPr>
          <w:rFonts w:ascii="Arial" w:eastAsia="Arial" w:hAnsi="Arial" w:cs="Arial"/>
          <w:b/>
          <w:color w:val="000000" w:themeColor="text1"/>
          <w:sz w:val="24"/>
          <w:szCs w:val="24"/>
        </w:rPr>
        <w:t>DEBATE</w:t>
      </w:r>
    </w:p>
    <w:p w14:paraId="6B504CFF" w14:textId="77777777" w:rsidR="0060437D" w:rsidRPr="00CE3326" w:rsidRDefault="0060437D" w:rsidP="00CE3326">
      <w:pPr>
        <w:pBdr>
          <w:top w:val="nil"/>
          <w:left w:val="nil"/>
          <w:bottom w:val="nil"/>
          <w:right w:val="nil"/>
          <w:between w:val="nil"/>
        </w:pBdr>
        <w:spacing w:after="0" w:line="240" w:lineRule="auto"/>
        <w:rPr>
          <w:rFonts w:ascii="Arial" w:eastAsia="Arial" w:hAnsi="Arial" w:cs="Arial"/>
          <w:b/>
          <w:color w:val="000000" w:themeColor="text1"/>
          <w:sz w:val="24"/>
          <w:szCs w:val="24"/>
        </w:rPr>
      </w:pPr>
    </w:p>
    <w:p w14:paraId="2EB55ADE" w14:textId="77777777" w:rsidR="0060437D" w:rsidRPr="00CE3326" w:rsidRDefault="0060437D" w:rsidP="00CE3326">
      <w:pPr>
        <w:pBdr>
          <w:top w:val="nil"/>
          <w:left w:val="nil"/>
          <w:bottom w:val="nil"/>
          <w:right w:val="nil"/>
          <w:between w:val="nil"/>
        </w:pBdr>
        <w:spacing w:after="0" w:line="240" w:lineRule="auto"/>
        <w:jc w:val="center"/>
        <w:rPr>
          <w:rFonts w:ascii="Arial" w:eastAsia="Arial" w:hAnsi="Arial" w:cs="Arial"/>
          <w:b/>
          <w:color w:val="000000" w:themeColor="text1"/>
          <w:sz w:val="24"/>
          <w:szCs w:val="24"/>
        </w:rPr>
      </w:pPr>
    </w:p>
    <w:p w14:paraId="185F6BF9" w14:textId="6C97C5DD" w:rsidR="00CE3326" w:rsidRPr="00CE3326" w:rsidRDefault="00CE3326" w:rsidP="00CE3326">
      <w:pPr>
        <w:spacing w:after="0" w:line="240" w:lineRule="auto"/>
        <w:jc w:val="center"/>
        <w:rPr>
          <w:rFonts w:ascii="Arial" w:eastAsia="Tahoma" w:hAnsi="Arial" w:cs="Arial"/>
          <w:sz w:val="24"/>
          <w:szCs w:val="24"/>
        </w:rPr>
      </w:pPr>
      <w:r w:rsidRPr="00CE3326">
        <w:rPr>
          <w:rFonts w:ascii="Arial" w:eastAsia="Tahoma" w:hAnsi="Arial" w:cs="Arial"/>
          <w:b/>
          <w:sz w:val="24"/>
          <w:szCs w:val="24"/>
        </w:rPr>
        <w:t xml:space="preserve">PROYECTO DE LEY No. </w:t>
      </w:r>
      <w:r>
        <w:rPr>
          <w:rFonts w:ascii="Arial" w:eastAsia="Tahoma" w:hAnsi="Arial" w:cs="Arial"/>
          <w:b/>
          <w:sz w:val="24"/>
          <w:szCs w:val="24"/>
        </w:rPr>
        <w:t>258</w:t>
      </w:r>
      <w:r w:rsidRPr="00CE3326">
        <w:rPr>
          <w:rFonts w:ascii="Arial" w:eastAsia="Tahoma" w:hAnsi="Arial" w:cs="Arial"/>
          <w:b/>
          <w:sz w:val="24"/>
          <w:szCs w:val="24"/>
        </w:rPr>
        <w:t xml:space="preserve"> de 20</w:t>
      </w:r>
      <w:r>
        <w:rPr>
          <w:rFonts w:ascii="Arial" w:eastAsia="Tahoma" w:hAnsi="Arial" w:cs="Arial"/>
          <w:b/>
          <w:sz w:val="24"/>
          <w:szCs w:val="24"/>
        </w:rPr>
        <w:t>20</w:t>
      </w:r>
      <w:r w:rsidRPr="00CE3326">
        <w:rPr>
          <w:rFonts w:ascii="Arial" w:eastAsia="Tahoma" w:hAnsi="Arial" w:cs="Arial"/>
          <w:b/>
          <w:sz w:val="24"/>
          <w:szCs w:val="24"/>
        </w:rPr>
        <w:t xml:space="preserve"> CÁMARA</w:t>
      </w:r>
    </w:p>
    <w:p w14:paraId="1FBDE93B" w14:textId="77777777" w:rsidR="00CE3326" w:rsidRPr="00CE3326" w:rsidRDefault="00CE3326" w:rsidP="00CE3326">
      <w:pPr>
        <w:spacing w:after="0" w:line="240" w:lineRule="auto"/>
        <w:ind w:left="2" w:hanging="2"/>
        <w:jc w:val="center"/>
        <w:rPr>
          <w:rFonts w:ascii="Arial" w:eastAsia="Tahoma" w:hAnsi="Arial" w:cs="Arial"/>
          <w:sz w:val="24"/>
          <w:szCs w:val="24"/>
        </w:rPr>
      </w:pPr>
    </w:p>
    <w:p w14:paraId="53A931A2" w14:textId="77777777" w:rsidR="00CE3326" w:rsidRPr="00CE3326" w:rsidRDefault="00CE3326" w:rsidP="00CE3326">
      <w:pPr>
        <w:spacing w:after="0" w:line="240" w:lineRule="auto"/>
        <w:ind w:left="2" w:hanging="2"/>
        <w:jc w:val="center"/>
        <w:rPr>
          <w:rFonts w:ascii="Arial" w:eastAsia="Tahoma" w:hAnsi="Arial" w:cs="Arial"/>
          <w:sz w:val="24"/>
          <w:szCs w:val="24"/>
        </w:rPr>
      </w:pPr>
      <w:r w:rsidRPr="00CE3326">
        <w:rPr>
          <w:rFonts w:ascii="Arial" w:eastAsia="Tahoma" w:hAnsi="Arial" w:cs="Arial"/>
          <w:i/>
          <w:sz w:val="24"/>
          <w:szCs w:val="24"/>
        </w:rPr>
        <w:t>“Por medio de la cual se modifica la Ley 1384 de 2010, se adopta el enfoque de alta carga de la enfermedad para la atención de pacientes con cáncer y se dictan otras disposiciones”</w:t>
      </w:r>
    </w:p>
    <w:p w14:paraId="1CE1EC58" w14:textId="77777777" w:rsidR="00CE3326" w:rsidRPr="00CE3326" w:rsidRDefault="00CE3326" w:rsidP="00CE3326">
      <w:pPr>
        <w:spacing w:after="0" w:line="240" w:lineRule="auto"/>
        <w:ind w:left="2" w:hanging="2"/>
        <w:jc w:val="center"/>
        <w:rPr>
          <w:rFonts w:ascii="Arial" w:eastAsia="Tahoma" w:hAnsi="Arial" w:cs="Arial"/>
          <w:sz w:val="24"/>
          <w:szCs w:val="24"/>
        </w:rPr>
      </w:pPr>
    </w:p>
    <w:p w14:paraId="2234B34D" w14:textId="77777777" w:rsidR="00CE3326" w:rsidRPr="00CE3326" w:rsidRDefault="00CE3326" w:rsidP="00CE3326">
      <w:pPr>
        <w:spacing w:after="0" w:line="240" w:lineRule="auto"/>
        <w:ind w:left="2" w:hanging="2"/>
        <w:jc w:val="center"/>
        <w:rPr>
          <w:rFonts w:ascii="Arial" w:eastAsia="Tahoma" w:hAnsi="Arial" w:cs="Arial"/>
          <w:sz w:val="24"/>
          <w:szCs w:val="24"/>
        </w:rPr>
      </w:pPr>
    </w:p>
    <w:p w14:paraId="5ACF67D0" w14:textId="77777777" w:rsidR="00CE3326" w:rsidRPr="00CE3326" w:rsidRDefault="00CE3326" w:rsidP="00CE3326">
      <w:pPr>
        <w:spacing w:after="0" w:line="240" w:lineRule="auto"/>
        <w:ind w:left="2" w:hanging="2"/>
        <w:jc w:val="center"/>
        <w:rPr>
          <w:rFonts w:ascii="Arial" w:eastAsia="Tahoma" w:hAnsi="Arial" w:cs="Arial"/>
          <w:sz w:val="24"/>
          <w:szCs w:val="24"/>
        </w:rPr>
      </w:pPr>
      <w:r w:rsidRPr="00CE3326">
        <w:rPr>
          <w:rFonts w:ascii="Arial" w:eastAsia="Tahoma" w:hAnsi="Arial" w:cs="Arial"/>
          <w:b/>
          <w:sz w:val="24"/>
          <w:szCs w:val="24"/>
        </w:rPr>
        <w:t>El Congreso de Colombia,</w:t>
      </w:r>
    </w:p>
    <w:p w14:paraId="61CE8468" w14:textId="77777777" w:rsidR="00CE3326" w:rsidRPr="00CE3326" w:rsidRDefault="00CE3326" w:rsidP="00CE3326">
      <w:pPr>
        <w:spacing w:after="0" w:line="240" w:lineRule="auto"/>
        <w:ind w:left="2" w:hanging="2"/>
        <w:jc w:val="center"/>
        <w:rPr>
          <w:rFonts w:ascii="Arial" w:eastAsia="Tahoma" w:hAnsi="Arial" w:cs="Arial"/>
          <w:sz w:val="24"/>
          <w:szCs w:val="24"/>
        </w:rPr>
      </w:pPr>
      <w:r w:rsidRPr="00CE3326">
        <w:rPr>
          <w:rFonts w:ascii="Arial" w:eastAsia="Tahoma" w:hAnsi="Arial" w:cs="Arial"/>
          <w:b/>
          <w:sz w:val="24"/>
          <w:szCs w:val="24"/>
        </w:rPr>
        <w:t>DECRETA:</w:t>
      </w:r>
    </w:p>
    <w:p w14:paraId="155E0743" w14:textId="77777777" w:rsidR="00D91FCE" w:rsidRDefault="00D91FCE" w:rsidP="00CE3326">
      <w:pPr>
        <w:spacing w:after="0" w:line="240" w:lineRule="auto"/>
        <w:ind w:left="2" w:hanging="2"/>
        <w:jc w:val="center"/>
        <w:rPr>
          <w:rFonts w:ascii="Arial" w:eastAsia="Tahoma" w:hAnsi="Arial" w:cs="Arial"/>
          <w:b/>
          <w:sz w:val="24"/>
          <w:szCs w:val="24"/>
        </w:rPr>
      </w:pPr>
    </w:p>
    <w:p w14:paraId="4ABA6E8F" w14:textId="54D1F2D7" w:rsidR="00CE3326" w:rsidRPr="00CE3326" w:rsidRDefault="00CE3326" w:rsidP="00CE3326">
      <w:pPr>
        <w:spacing w:after="0" w:line="240" w:lineRule="auto"/>
        <w:ind w:left="2" w:hanging="2"/>
        <w:jc w:val="center"/>
        <w:rPr>
          <w:rFonts w:ascii="Arial" w:eastAsia="Tahoma" w:hAnsi="Arial" w:cs="Arial"/>
          <w:sz w:val="24"/>
          <w:szCs w:val="24"/>
        </w:rPr>
      </w:pPr>
      <w:r w:rsidRPr="00CE3326">
        <w:rPr>
          <w:rFonts w:ascii="Arial" w:eastAsia="Tahoma" w:hAnsi="Arial" w:cs="Arial"/>
          <w:b/>
          <w:sz w:val="24"/>
          <w:szCs w:val="24"/>
        </w:rPr>
        <w:t>Capítulo I</w:t>
      </w:r>
    </w:p>
    <w:p w14:paraId="70828BBF" w14:textId="77777777" w:rsidR="00CE3326" w:rsidRPr="00CE3326" w:rsidRDefault="00CE3326" w:rsidP="00CE3326">
      <w:pPr>
        <w:spacing w:after="0" w:line="240" w:lineRule="auto"/>
        <w:ind w:left="2" w:hanging="2"/>
        <w:jc w:val="center"/>
        <w:rPr>
          <w:rFonts w:ascii="Arial" w:eastAsia="Tahoma" w:hAnsi="Arial" w:cs="Arial"/>
          <w:sz w:val="24"/>
          <w:szCs w:val="24"/>
        </w:rPr>
      </w:pPr>
      <w:r w:rsidRPr="00CE3326">
        <w:rPr>
          <w:rFonts w:ascii="Arial" w:eastAsia="Tahoma" w:hAnsi="Arial" w:cs="Arial"/>
          <w:b/>
          <w:sz w:val="24"/>
          <w:szCs w:val="24"/>
        </w:rPr>
        <w:t>Objeto de la ley. Campo de aplicación. Principios. Definiciones</w:t>
      </w:r>
    </w:p>
    <w:p w14:paraId="5B382362" w14:textId="77777777" w:rsidR="00CE3326" w:rsidRPr="00CE3326" w:rsidRDefault="00CE3326" w:rsidP="00CE3326">
      <w:pPr>
        <w:spacing w:after="0" w:line="240" w:lineRule="auto"/>
        <w:ind w:left="2" w:hanging="2"/>
        <w:rPr>
          <w:rFonts w:ascii="Arial" w:eastAsia="Tahoma" w:hAnsi="Arial" w:cs="Arial"/>
          <w:sz w:val="24"/>
          <w:szCs w:val="24"/>
        </w:rPr>
      </w:pPr>
    </w:p>
    <w:p w14:paraId="3AC0654E" w14:textId="024E560E" w:rsidR="00CE3326" w:rsidRPr="00511086" w:rsidRDefault="00511086" w:rsidP="00D91FCE">
      <w:pPr>
        <w:spacing w:after="0" w:line="240" w:lineRule="auto"/>
        <w:ind w:left="2" w:hanging="2"/>
        <w:rPr>
          <w:rFonts w:ascii="Arial" w:eastAsia="Tahoma" w:hAnsi="Arial" w:cs="Arial"/>
          <w:sz w:val="24"/>
          <w:szCs w:val="24"/>
        </w:rPr>
      </w:pPr>
      <w:r w:rsidRPr="00511086">
        <w:rPr>
          <w:rFonts w:ascii="Arial" w:eastAsia="Tahoma" w:hAnsi="Arial" w:cs="Arial"/>
          <w:b/>
          <w:sz w:val="24"/>
          <w:szCs w:val="24"/>
        </w:rPr>
        <w:t xml:space="preserve">Artículo 1. Objeto de la ley. </w:t>
      </w:r>
      <w:r w:rsidRPr="00511086">
        <w:rPr>
          <w:rFonts w:ascii="Arial" w:eastAsia="Tahoma" w:hAnsi="Arial" w:cs="Arial"/>
          <w:color w:val="000000"/>
          <w:sz w:val="24"/>
          <w:szCs w:val="24"/>
        </w:rPr>
        <w:t xml:space="preserve">La presente ley tiene por objeto la actualización del marco normativo actual </w:t>
      </w:r>
      <w:r w:rsidRPr="00511086">
        <w:rPr>
          <w:rFonts w:ascii="Arial" w:eastAsia="Tahoma" w:hAnsi="Arial" w:cs="Arial"/>
          <w:bCs/>
          <w:color w:val="000000"/>
          <w:sz w:val="24"/>
          <w:szCs w:val="24"/>
        </w:rPr>
        <w:t>sobre atención integral del cáncer,</w:t>
      </w:r>
      <w:r w:rsidRPr="00511086">
        <w:rPr>
          <w:rFonts w:ascii="Arial" w:eastAsia="Tahoma" w:hAnsi="Arial" w:cs="Arial"/>
          <w:color w:val="000000"/>
          <w:sz w:val="24"/>
          <w:szCs w:val="24"/>
        </w:rPr>
        <w:t xml:space="preserve"> de modo que se adopte el enfoque de carga de la enfermedad en Colombia que tenga en cuenta las consecuencias epidemiológicas y económicas de la enfermedad y determinar la alta carga como factor para priorización de los cánceres, que responda a los cambios que está experimentando al país y pueda responder acorde a estos. Lo anterior para garantizar un uso eficiente de los recursos asignados para mejorar la atención de los tipos de cáncer de alta carga en el país y la atención integral con esfuerzos que respondan a la alta carga.</w:t>
      </w:r>
    </w:p>
    <w:p w14:paraId="01FB436C" w14:textId="77777777" w:rsidR="00CE3326" w:rsidRPr="006723C8" w:rsidRDefault="00CE3326" w:rsidP="006723C8">
      <w:pPr>
        <w:spacing w:after="0" w:line="240" w:lineRule="auto"/>
        <w:rPr>
          <w:rFonts w:ascii="Arial" w:eastAsia="Tahoma" w:hAnsi="Arial" w:cs="Arial"/>
          <w:sz w:val="24"/>
          <w:szCs w:val="24"/>
        </w:rPr>
      </w:pPr>
    </w:p>
    <w:p w14:paraId="34D12EF6" w14:textId="77777777" w:rsidR="006723C8" w:rsidRPr="006723C8" w:rsidRDefault="006723C8" w:rsidP="006723C8">
      <w:pPr>
        <w:spacing w:after="0" w:line="240" w:lineRule="auto"/>
        <w:rPr>
          <w:rFonts w:ascii="Arial" w:eastAsia="Tahoma" w:hAnsi="Arial" w:cs="Arial"/>
          <w:sz w:val="24"/>
          <w:szCs w:val="24"/>
        </w:rPr>
      </w:pPr>
      <w:r w:rsidRPr="006723C8">
        <w:rPr>
          <w:rFonts w:ascii="Arial" w:eastAsia="Tahoma" w:hAnsi="Arial" w:cs="Arial"/>
          <w:b/>
          <w:sz w:val="24"/>
          <w:szCs w:val="24"/>
        </w:rPr>
        <w:t xml:space="preserve">Artículo 2. </w:t>
      </w:r>
      <w:r w:rsidRPr="006723C8">
        <w:rPr>
          <w:rFonts w:ascii="Arial" w:eastAsia="Tahoma" w:hAnsi="Arial" w:cs="Arial"/>
          <w:sz w:val="24"/>
          <w:szCs w:val="24"/>
        </w:rPr>
        <w:t>Modifíquese el artículo 3 de la Ley 1384 de 2010, el cual quedará así:</w:t>
      </w:r>
    </w:p>
    <w:p w14:paraId="5803517B" w14:textId="77777777" w:rsidR="006723C8" w:rsidRPr="006723C8" w:rsidRDefault="006723C8" w:rsidP="006723C8">
      <w:pPr>
        <w:spacing w:after="0" w:line="240" w:lineRule="auto"/>
        <w:rPr>
          <w:rFonts w:ascii="Arial" w:eastAsia="Tahoma" w:hAnsi="Arial" w:cs="Arial"/>
          <w:sz w:val="24"/>
          <w:szCs w:val="24"/>
        </w:rPr>
      </w:pPr>
    </w:p>
    <w:p w14:paraId="20A4AE63" w14:textId="17985DDD" w:rsidR="006723C8" w:rsidRPr="006723C8" w:rsidRDefault="00822B35" w:rsidP="00822B35">
      <w:pPr>
        <w:spacing w:after="0" w:line="240" w:lineRule="auto"/>
        <w:ind w:left="720"/>
        <w:rPr>
          <w:rFonts w:ascii="Arial" w:eastAsia="Tahoma" w:hAnsi="Arial" w:cs="Arial"/>
          <w:sz w:val="24"/>
          <w:szCs w:val="24"/>
        </w:rPr>
      </w:pPr>
      <w:r w:rsidRPr="00822B35">
        <w:rPr>
          <w:rFonts w:ascii="Arial" w:eastAsia="Tahoma" w:hAnsi="Arial" w:cs="Arial"/>
          <w:b/>
          <w:sz w:val="24"/>
          <w:szCs w:val="24"/>
        </w:rPr>
        <w:t>ARTÍCULO 3º</w:t>
      </w:r>
      <w:r w:rsidR="006723C8" w:rsidRPr="00822B35">
        <w:rPr>
          <w:rFonts w:ascii="Arial" w:eastAsia="Tahoma" w:hAnsi="Arial" w:cs="Arial"/>
          <w:b/>
          <w:sz w:val="24"/>
          <w:szCs w:val="24"/>
        </w:rPr>
        <w:t>. CAMPO DE APLICACIÓN.</w:t>
      </w:r>
      <w:r w:rsidR="006723C8" w:rsidRPr="006723C8">
        <w:rPr>
          <w:rFonts w:ascii="Arial" w:eastAsia="Tahoma" w:hAnsi="Arial" w:cs="Arial"/>
          <w:sz w:val="24"/>
          <w:szCs w:val="24"/>
        </w:rPr>
        <w:t xml:space="preserve"> Las disposiciones contenidas en la presente ley se aplicarán a toda la población </w:t>
      </w:r>
      <w:r w:rsidR="006723C8" w:rsidRPr="006723C8">
        <w:rPr>
          <w:rFonts w:ascii="Arial" w:hAnsi="Arial" w:cs="Arial"/>
          <w:color w:val="000000" w:themeColor="text1"/>
          <w:sz w:val="24"/>
          <w:szCs w:val="24"/>
          <w:shd w:val="clear" w:color="auto" w:fill="FFFFFF"/>
        </w:rPr>
        <w:t>residente en el territorio nacional</w:t>
      </w:r>
      <w:r w:rsidR="006723C8" w:rsidRPr="006723C8">
        <w:rPr>
          <w:rFonts w:ascii="Arial" w:eastAsia="Tahoma" w:hAnsi="Arial" w:cs="Arial"/>
          <w:sz w:val="24"/>
          <w:szCs w:val="24"/>
        </w:rPr>
        <w:t>, y se prestarán los servicios requeridos en cualquier momento sin distinción de regímenes en las Instituciones Prestadoras de Servicios de Salud sean públicas o privadas, EPS, EAPB/EOC como delegados de administración en salud y en las Unidades Funcionales habilitadas para la Atención Integral del Cáncer.</w:t>
      </w:r>
    </w:p>
    <w:p w14:paraId="15C37ADC" w14:textId="77777777" w:rsidR="006723C8" w:rsidRPr="00855311" w:rsidRDefault="006723C8" w:rsidP="00855311">
      <w:pPr>
        <w:spacing w:after="0" w:line="240" w:lineRule="auto"/>
        <w:rPr>
          <w:rFonts w:ascii="Arial" w:eastAsia="Tahoma" w:hAnsi="Arial" w:cs="Arial"/>
          <w:sz w:val="24"/>
          <w:szCs w:val="24"/>
        </w:rPr>
      </w:pPr>
    </w:p>
    <w:p w14:paraId="072262D7" w14:textId="77777777" w:rsidR="00855311" w:rsidRPr="00855311" w:rsidRDefault="00855311" w:rsidP="00855311">
      <w:pPr>
        <w:spacing w:after="0" w:line="240" w:lineRule="auto"/>
        <w:ind w:left="2" w:hanging="2"/>
        <w:rPr>
          <w:rFonts w:ascii="Arial" w:eastAsia="Tahoma" w:hAnsi="Arial" w:cs="Arial"/>
          <w:bCs/>
          <w:sz w:val="24"/>
          <w:szCs w:val="24"/>
        </w:rPr>
      </w:pPr>
      <w:r w:rsidRPr="00855311">
        <w:rPr>
          <w:rFonts w:ascii="Arial" w:eastAsia="Tahoma" w:hAnsi="Arial" w:cs="Arial"/>
          <w:b/>
          <w:sz w:val="24"/>
          <w:szCs w:val="24"/>
        </w:rPr>
        <w:t>Artículo 3.</w:t>
      </w:r>
      <w:r w:rsidRPr="00855311">
        <w:rPr>
          <w:rFonts w:ascii="Arial" w:eastAsia="Tahoma" w:hAnsi="Arial" w:cs="Arial"/>
          <w:bCs/>
          <w:sz w:val="24"/>
          <w:szCs w:val="24"/>
        </w:rPr>
        <w:t xml:space="preserve"> Modifíquese el artículo 2 de la Ley 1384 de 2010, el cual quedará así:</w:t>
      </w:r>
    </w:p>
    <w:p w14:paraId="4D3674F2" w14:textId="77777777" w:rsidR="00855311" w:rsidRPr="00855311" w:rsidRDefault="00855311" w:rsidP="00855311">
      <w:pPr>
        <w:spacing w:after="0" w:line="240" w:lineRule="auto"/>
        <w:ind w:left="2" w:hanging="2"/>
        <w:rPr>
          <w:rFonts w:ascii="Arial" w:eastAsia="Tahoma" w:hAnsi="Arial" w:cs="Arial"/>
          <w:bCs/>
          <w:sz w:val="24"/>
          <w:szCs w:val="24"/>
        </w:rPr>
      </w:pPr>
    </w:p>
    <w:p w14:paraId="051698AF" w14:textId="31A593E8" w:rsidR="00855311" w:rsidRPr="00855311" w:rsidRDefault="00822B35" w:rsidP="00822B35">
      <w:pPr>
        <w:spacing w:after="0" w:line="240" w:lineRule="auto"/>
        <w:ind w:left="720"/>
        <w:rPr>
          <w:rFonts w:ascii="Arial" w:eastAsia="Tahoma" w:hAnsi="Arial" w:cs="Arial"/>
          <w:bCs/>
          <w:color w:val="000000" w:themeColor="text1"/>
          <w:sz w:val="24"/>
          <w:szCs w:val="24"/>
        </w:rPr>
      </w:pPr>
      <w:r w:rsidRPr="00822B35">
        <w:rPr>
          <w:rFonts w:ascii="Arial" w:eastAsia="Tahoma" w:hAnsi="Arial" w:cs="Arial"/>
          <w:b/>
          <w:bCs/>
          <w:color w:val="000000" w:themeColor="text1"/>
          <w:sz w:val="24"/>
          <w:szCs w:val="24"/>
        </w:rPr>
        <w:t>ARTÍCULO 2º</w:t>
      </w:r>
      <w:r w:rsidR="00855311" w:rsidRPr="00822B35">
        <w:rPr>
          <w:rFonts w:ascii="Arial" w:eastAsia="Tahoma" w:hAnsi="Arial" w:cs="Arial"/>
          <w:b/>
          <w:bCs/>
          <w:color w:val="000000" w:themeColor="text1"/>
          <w:sz w:val="24"/>
          <w:szCs w:val="24"/>
        </w:rPr>
        <w:t>. PRINCIPIOS.</w:t>
      </w:r>
      <w:r w:rsidR="00855311" w:rsidRPr="00855311">
        <w:rPr>
          <w:rFonts w:ascii="Arial" w:eastAsia="Tahoma" w:hAnsi="Arial" w:cs="Arial"/>
          <w:bCs/>
          <w:color w:val="000000" w:themeColor="text1"/>
          <w:sz w:val="24"/>
          <w:szCs w:val="24"/>
        </w:rPr>
        <w:t xml:space="preserve"> </w:t>
      </w:r>
      <w:r w:rsidR="00855311" w:rsidRPr="00855311">
        <w:rPr>
          <w:rFonts w:ascii="Arial" w:hAnsi="Arial" w:cs="Arial"/>
          <w:bCs/>
          <w:color w:val="000000" w:themeColor="text1"/>
          <w:sz w:val="24"/>
          <w:szCs w:val="24"/>
          <w:shd w:val="clear" w:color="auto" w:fill="FFFFFF"/>
        </w:rPr>
        <w:t xml:space="preserve">El contenido de la presente ley y de las disposiciones que la complementen o adicionen, se interpretarán y ejecutarán teniendo presente el respeto y garantías al derecho a la vida, </w:t>
      </w:r>
      <w:r w:rsidR="00855311" w:rsidRPr="00855311">
        <w:rPr>
          <w:rFonts w:ascii="Arial" w:eastAsia="Tahoma" w:hAnsi="Arial" w:cs="Arial"/>
          <w:bCs/>
          <w:color w:val="000000" w:themeColor="text1"/>
          <w:sz w:val="24"/>
          <w:szCs w:val="24"/>
        </w:rPr>
        <w:lastRenderedPageBreak/>
        <w:t>accesibilidad, equidad, oportunidad, continuidad, solidaridad y eficiencia, preservando el criterio según el cual la tarea fundamental de las autoridades de salud será lograr la prevención, la detección temprana, diagnóstico oportuno de la enfermedad y acceso a los tratamientos según las condiciones clínicas del paciente y estadio, y sin discriminación, para lograr una adecuada rehabilitación y paliación del paciente.</w:t>
      </w:r>
    </w:p>
    <w:p w14:paraId="5414185E" w14:textId="77777777" w:rsidR="00855311" w:rsidRPr="00813EB6" w:rsidRDefault="00855311" w:rsidP="00813EB6">
      <w:pPr>
        <w:spacing w:after="0" w:line="240" w:lineRule="auto"/>
        <w:rPr>
          <w:rFonts w:ascii="Arial" w:eastAsia="Tahoma" w:hAnsi="Arial" w:cs="Arial"/>
          <w:b/>
          <w:sz w:val="24"/>
          <w:szCs w:val="24"/>
        </w:rPr>
      </w:pPr>
    </w:p>
    <w:p w14:paraId="7038F8E0" w14:textId="5A8CA694" w:rsidR="00813EB6" w:rsidRPr="00813EB6" w:rsidRDefault="00813EB6" w:rsidP="00813EB6">
      <w:pPr>
        <w:spacing w:after="0" w:line="240" w:lineRule="auto"/>
        <w:rPr>
          <w:rFonts w:ascii="Arial" w:eastAsia="Tahoma" w:hAnsi="Arial" w:cs="Arial"/>
          <w:sz w:val="24"/>
          <w:szCs w:val="24"/>
        </w:rPr>
      </w:pPr>
      <w:r w:rsidRPr="00813EB6">
        <w:rPr>
          <w:rFonts w:ascii="Arial" w:eastAsia="Tahoma" w:hAnsi="Arial" w:cs="Arial"/>
          <w:b/>
          <w:sz w:val="24"/>
          <w:szCs w:val="24"/>
        </w:rPr>
        <w:t xml:space="preserve">Artículo 4. </w:t>
      </w:r>
      <w:r w:rsidRPr="00813EB6">
        <w:rPr>
          <w:rFonts w:ascii="Arial" w:eastAsia="Tahoma" w:hAnsi="Arial" w:cs="Arial"/>
          <w:sz w:val="24"/>
          <w:szCs w:val="24"/>
        </w:rPr>
        <w:t xml:space="preserve">Adiciónese los literales </w:t>
      </w:r>
      <w:r w:rsidRPr="00A469D2">
        <w:rPr>
          <w:rFonts w:ascii="Arial" w:eastAsia="Tahoma" w:hAnsi="Arial" w:cs="Arial"/>
          <w:sz w:val="24"/>
          <w:szCs w:val="24"/>
        </w:rPr>
        <w:t xml:space="preserve">e) al </w:t>
      </w:r>
      <w:r w:rsidR="00A469D2" w:rsidRPr="00A469D2">
        <w:rPr>
          <w:rFonts w:ascii="Arial" w:eastAsia="Tahoma" w:hAnsi="Arial" w:cs="Arial"/>
          <w:sz w:val="24"/>
          <w:szCs w:val="24"/>
        </w:rPr>
        <w:t>l</w:t>
      </w:r>
      <w:r w:rsidRPr="00A469D2">
        <w:rPr>
          <w:rFonts w:ascii="Arial" w:eastAsia="Tahoma" w:hAnsi="Arial" w:cs="Arial"/>
          <w:sz w:val="24"/>
          <w:szCs w:val="24"/>
        </w:rPr>
        <w:t>)</w:t>
      </w:r>
      <w:r w:rsidRPr="00813EB6">
        <w:rPr>
          <w:rFonts w:ascii="Arial" w:eastAsia="Tahoma" w:hAnsi="Arial" w:cs="Arial"/>
          <w:sz w:val="24"/>
          <w:szCs w:val="24"/>
        </w:rPr>
        <w:t xml:space="preserve"> al artículo 4 de la Ley 1384 de 2010, el cual quedará así:</w:t>
      </w:r>
    </w:p>
    <w:p w14:paraId="54B094E5" w14:textId="77777777" w:rsidR="00813EB6" w:rsidRPr="00813EB6" w:rsidRDefault="00813EB6" w:rsidP="00813EB6">
      <w:pPr>
        <w:spacing w:after="0" w:line="240" w:lineRule="auto"/>
        <w:rPr>
          <w:rFonts w:ascii="Arial" w:eastAsia="Tahoma" w:hAnsi="Arial" w:cs="Arial"/>
          <w:sz w:val="24"/>
          <w:szCs w:val="24"/>
        </w:rPr>
      </w:pPr>
    </w:p>
    <w:p w14:paraId="154D0836" w14:textId="77777777" w:rsidR="00813EB6" w:rsidRDefault="00813EB6" w:rsidP="00822B35">
      <w:pPr>
        <w:spacing w:after="0" w:line="240" w:lineRule="auto"/>
        <w:ind w:left="720"/>
        <w:rPr>
          <w:rFonts w:ascii="Arial" w:eastAsia="Tahoma" w:hAnsi="Arial" w:cs="Arial"/>
          <w:sz w:val="24"/>
          <w:szCs w:val="24"/>
        </w:rPr>
      </w:pPr>
      <w:r w:rsidRPr="00813EB6">
        <w:rPr>
          <w:rFonts w:ascii="Arial" w:eastAsia="Tahoma" w:hAnsi="Arial" w:cs="Arial"/>
          <w:sz w:val="24"/>
          <w:szCs w:val="24"/>
        </w:rPr>
        <w:t>ARTÍCULO 4o. DEFINICIONES</w:t>
      </w:r>
      <w:r w:rsidRPr="00813EB6">
        <w:rPr>
          <w:rFonts w:ascii="Arial" w:eastAsia="Tahoma" w:hAnsi="Arial" w:cs="Arial"/>
          <w:b/>
          <w:sz w:val="24"/>
          <w:szCs w:val="24"/>
        </w:rPr>
        <w:t>.</w:t>
      </w:r>
      <w:r w:rsidRPr="00813EB6">
        <w:rPr>
          <w:rFonts w:ascii="Arial" w:eastAsia="Tahoma" w:hAnsi="Arial" w:cs="Arial"/>
          <w:sz w:val="24"/>
          <w:szCs w:val="24"/>
        </w:rPr>
        <w:t xml:space="preserve"> Las siguientes definiciones se aplican a esta ley:</w:t>
      </w:r>
    </w:p>
    <w:p w14:paraId="034A59F8" w14:textId="77777777" w:rsidR="00822B35" w:rsidRDefault="00822B35" w:rsidP="00813EB6">
      <w:pPr>
        <w:spacing w:after="0" w:line="240" w:lineRule="auto"/>
        <w:rPr>
          <w:rFonts w:ascii="Arial" w:eastAsia="Tahoma" w:hAnsi="Arial" w:cs="Arial"/>
          <w:sz w:val="24"/>
          <w:szCs w:val="24"/>
        </w:rPr>
      </w:pPr>
    </w:p>
    <w:p w14:paraId="566A309F" w14:textId="44BB72CF" w:rsidR="00822B35" w:rsidRPr="00813EB6" w:rsidRDefault="00822B35" w:rsidP="00822B35">
      <w:pPr>
        <w:spacing w:after="0" w:line="240" w:lineRule="auto"/>
        <w:ind w:firstLine="720"/>
        <w:rPr>
          <w:rFonts w:ascii="Arial" w:eastAsia="Tahoma" w:hAnsi="Arial" w:cs="Arial"/>
          <w:sz w:val="24"/>
          <w:szCs w:val="24"/>
        </w:rPr>
      </w:pPr>
      <w:r>
        <w:rPr>
          <w:rFonts w:ascii="Arial" w:eastAsia="Tahoma" w:hAnsi="Arial" w:cs="Arial"/>
          <w:sz w:val="24"/>
          <w:szCs w:val="24"/>
        </w:rPr>
        <w:t xml:space="preserve">(…) </w:t>
      </w:r>
    </w:p>
    <w:p w14:paraId="4740AC20" w14:textId="77777777" w:rsidR="00813EB6" w:rsidRPr="00813EB6" w:rsidRDefault="00813EB6" w:rsidP="00813EB6">
      <w:pPr>
        <w:spacing w:after="0" w:line="240" w:lineRule="auto"/>
        <w:rPr>
          <w:rFonts w:ascii="Arial" w:eastAsia="Tahoma" w:hAnsi="Arial" w:cs="Arial"/>
          <w:b/>
          <w:sz w:val="24"/>
          <w:szCs w:val="24"/>
        </w:rPr>
      </w:pPr>
    </w:p>
    <w:p w14:paraId="17181D6C" w14:textId="77777777" w:rsidR="00813EB6" w:rsidRPr="00813EB6" w:rsidRDefault="00813EB6" w:rsidP="00822B35">
      <w:pPr>
        <w:spacing w:after="0" w:line="240" w:lineRule="auto"/>
        <w:ind w:left="720"/>
        <w:rPr>
          <w:rFonts w:ascii="Arial" w:eastAsia="Tahoma" w:hAnsi="Arial" w:cs="Arial"/>
          <w:sz w:val="24"/>
          <w:szCs w:val="24"/>
        </w:rPr>
      </w:pPr>
      <w:r w:rsidRPr="00813EB6">
        <w:rPr>
          <w:rFonts w:ascii="Arial" w:eastAsia="Tahoma" w:hAnsi="Arial" w:cs="Arial"/>
          <w:b/>
          <w:sz w:val="24"/>
          <w:szCs w:val="24"/>
        </w:rPr>
        <w:t xml:space="preserve">e) Carga de la enfermedad: </w:t>
      </w:r>
      <w:r w:rsidRPr="00813EB6">
        <w:rPr>
          <w:rFonts w:ascii="Arial" w:eastAsia="Tahoma" w:hAnsi="Arial" w:cs="Arial"/>
          <w:sz w:val="24"/>
          <w:szCs w:val="24"/>
        </w:rPr>
        <w:t>Es un indicador que permite cuantificar la brecha existente entre el estado de salud de una población y un estándar, e incluye la suma de años de vida perdidos por mortalidad prematura y años de vida vividos con discapacidad.</w:t>
      </w:r>
    </w:p>
    <w:p w14:paraId="132D6AE4" w14:textId="77777777" w:rsidR="00813EB6" w:rsidRPr="00813EB6" w:rsidRDefault="00813EB6" w:rsidP="00813EB6">
      <w:pPr>
        <w:spacing w:after="0" w:line="240" w:lineRule="auto"/>
        <w:rPr>
          <w:rFonts w:ascii="Arial" w:eastAsia="Tahoma" w:hAnsi="Arial" w:cs="Arial"/>
          <w:sz w:val="24"/>
          <w:szCs w:val="24"/>
        </w:rPr>
      </w:pPr>
    </w:p>
    <w:p w14:paraId="506A5836" w14:textId="77777777" w:rsidR="00813EB6" w:rsidRPr="00813EB6" w:rsidRDefault="00813EB6" w:rsidP="00822B35">
      <w:pPr>
        <w:spacing w:after="0" w:line="240" w:lineRule="auto"/>
        <w:ind w:left="720"/>
        <w:rPr>
          <w:rFonts w:ascii="Arial" w:eastAsia="Tahoma" w:hAnsi="Arial" w:cs="Arial"/>
          <w:sz w:val="24"/>
          <w:szCs w:val="24"/>
        </w:rPr>
      </w:pPr>
      <w:r w:rsidRPr="00813EB6">
        <w:rPr>
          <w:rFonts w:ascii="Arial" w:eastAsia="Tahoma" w:hAnsi="Arial" w:cs="Arial"/>
          <w:b/>
          <w:sz w:val="24"/>
          <w:szCs w:val="24"/>
        </w:rPr>
        <w:t xml:space="preserve">f) Incidencia: </w:t>
      </w:r>
      <w:r w:rsidRPr="00813EB6">
        <w:rPr>
          <w:rFonts w:ascii="Arial" w:eastAsia="Tahoma" w:hAnsi="Arial" w:cs="Arial"/>
          <w:sz w:val="24"/>
          <w:szCs w:val="24"/>
        </w:rPr>
        <w:t>Es la cantidad de casos nuevos de una enfermedad, un síntoma, muerte o lesión que se presenta durante un período de tiempo específico.</w:t>
      </w:r>
    </w:p>
    <w:p w14:paraId="1AC6EFFA" w14:textId="77777777" w:rsidR="00813EB6" w:rsidRPr="00813EB6" w:rsidRDefault="00813EB6" w:rsidP="00813EB6">
      <w:pPr>
        <w:spacing w:after="0" w:line="240" w:lineRule="auto"/>
        <w:rPr>
          <w:rFonts w:ascii="Arial" w:eastAsia="Tahoma" w:hAnsi="Arial" w:cs="Arial"/>
          <w:sz w:val="24"/>
          <w:szCs w:val="24"/>
        </w:rPr>
      </w:pPr>
    </w:p>
    <w:p w14:paraId="5CF113EC" w14:textId="77777777" w:rsidR="00813EB6" w:rsidRPr="00813EB6" w:rsidRDefault="00813EB6" w:rsidP="00822B35">
      <w:pPr>
        <w:spacing w:after="0" w:line="240" w:lineRule="auto"/>
        <w:ind w:left="720"/>
        <w:rPr>
          <w:rFonts w:ascii="Arial" w:eastAsia="Tahoma" w:hAnsi="Arial" w:cs="Arial"/>
          <w:sz w:val="24"/>
          <w:szCs w:val="24"/>
        </w:rPr>
      </w:pPr>
      <w:r w:rsidRPr="00813EB6">
        <w:rPr>
          <w:rFonts w:ascii="Arial" w:eastAsia="Tahoma" w:hAnsi="Arial" w:cs="Arial"/>
          <w:b/>
          <w:sz w:val="24"/>
          <w:szCs w:val="24"/>
        </w:rPr>
        <w:t xml:space="preserve">g) Prevalencia: </w:t>
      </w:r>
      <w:r w:rsidRPr="00813EB6">
        <w:rPr>
          <w:rFonts w:ascii="Arial" w:eastAsia="Tahoma" w:hAnsi="Arial" w:cs="Arial"/>
          <w:sz w:val="24"/>
          <w:szCs w:val="24"/>
        </w:rPr>
        <w:t>Es la proporción de individuos de una población que presentan el evento en un momento, o periodo de tiempo, determinado.</w:t>
      </w:r>
    </w:p>
    <w:p w14:paraId="2796373A" w14:textId="77777777" w:rsidR="00813EB6" w:rsidRPr="00813EB6" w:rsidRDefault="00813EB6" w:rsidP="00813EB6">
      <w:pPr>
        <w:spacing w:after="0" w:line="240" w:lineRule="auto"/>
        <w:rPr>
          <w:rFonts w:ascii="Arial" w:eastAsia="Tahoma" w:hAnsi="Arial" w:cs="Arial"/>
          <w:sz w:val="24"/>
          <w:szCs w:val="24"/>
        </w:rPr>
      </w:pPr>
    </w:p>
    <w:p w14:paraId="48D17487" w14:textId="77777777" w:rsidR="00813EB6" w:rsidRPr="00813EB6" w:rsidRDefault="00813EB6" w:rsidP="00822B35">
      <w:pPr>
        <w:spacing w:after="0" w:line="240" w:lineRule="auto"/>
        <w:ind w:left="720"/>
        <w:rPr>
          <w:rFonts w:ascii="Arial" w:eastAsia="Tahoma" w:hAnsi="Arial" w:cs="Arial"/>
          <w:sz w:val="24"/>
          <w:szCs w:val="24"/>
        </w:rPr>
      </w:pPr>
      <w:r w:rsidRPr="00813EB6">
        <w:rPr>
          <w:rFonts w:ascii="Arial" w:eastAsia="Tahoma" w:hAnsi="Arial" w:cs="Arial"/>
          <w:b/>
          <w:sz w:val="24"/>
          <w:szCs w:val="24"/>
        </w:rPr>
        <w:t xml:space="preserve">h) Mortalidad: </w:t>
      </w:r>
      <w:r w:rsidRPr="00813EB6">
        <w:rPr>
          <w:rFonts w:ascii="Arial" w:eastAsia="Tahoma" w:hAnsi="Arial" w:cs="Arial"/>
          <w:sz w:val="24"/>
          <w:szCs w:val="24"/>
        </w:rPr>
        <w:t>Indica el número de defunciones por lugar, intervalo de tiempo y causa.</w:t>
      </w:r>
    </w:p>
    <w:p w14:paraId="26702B52" w14:textId="77777777" w:rsidR="00813EB6" w:rsidRPr="00813EB6" w:rsidRDefault="00813EB6" w:rsidP="00813EB6">
      <w:pPr>
        <w:spacing w:after="0" w:line="240" w:lineRule="auto"/>
        <w:rPr>
          <w:rFonts w:ascii="Arial" w:eastAsia="Tahoma" w:hAnsi="Arial" w:cs="Arial"/>
          <w:sz w:val="24"/>
          <w:szCs w:val="24"/>
        </w:rPr>
      </w:pPr>
    </w:p>
    <w:p w14:paraId="383ABF2F" w14:textId="77777777" w:rsidR="00813EB6" w:rsidRPr="00813EB6" w:rsidRDefault="00813EB6" w:rsidP="00822B35">
      <w:pPr>
        <w:spacing w:after="0" w:line="240" w:lineRule="auto"/>
        <w:ind w:left="720"/>
        <w:rPr>
          <w:rFonts w:ascii="Arial" w:eastAsia="Tahoma" w:hAnsi="Arial" w:cs="Arial"/>
          <w:sz w:val="24"/>
          <w:szCs w:val="24"/>
        </w:rPr>
      </w:pPr>
      <w:r w:rsidRPr="00813EB6">
        <w:rPr>
          <w:rFonts w:ascii="Arial" w:eastAsia="Tahoma" w:hAnsi="Arial" w:cs="Arial"/>
          <w:b/>
          <w:sz w:val="24"/>
          <w:szCs w:val="24"/>
        </w:rPr>
        <w:t xml:space="preserve">i) Años de Vida Ajustados por Discapacidad – AVISAS: </w:t>
      </w:r>
      <w:r w:rsidRPr="00813EB6">
        <w:rPr>
          <w:rFonts w:ascii="Arial" w:eastAsia="Tahoma" w:hAnsi="Arial" w:cs="Arial"/>
          <w:sz w:val="24"/>
          <w:szCs w:val="24"/>
        </w:rPr>
        <w:t>Mide la carga de enfermedad que sufre una población por causas específicas. AVISA son los años de vida ajustados por discapacidad que equivalen a los años perdidos por discapacidad (APD) más los años perdidos por mortalidad prematura (APMP). Es decir que, AVISAS = APD + APMP.</w:t>
      </w:r>
    </w:p>
    <w:p w14:paraId="40C5321C" w14:textId="77777777" w:rsidR="00813EB6" w:rsidRPr="00813EB6" w:rsidRDefault="00813EB6" w:rsidP="00813EB6">
      <w:pPr>
        <w:spacing w:after="0" w:line="240" w:lineRule="auto"/>
        <w:rPr>
          <w:rFonts w:ascii="Arial" w:eastAsia="Tahoma" w:hAnsi="Arial" w:cs="Arial"/>
          <w:sz w:val="24"/>
          <w:szCs w:val="24"/>
        </w:rPr>
      </w:pPr>
    </w:p>
    <w:p w14:paraId="68203350" w14:textId="77777777" w:rsidR="00813EB6" w:rsidRPr="00813EB6" w:rsidRDefault="00813EB6" w:rsidP="00822B35">
      <w:pPr>
        <w:spacing w:after="0" w:line="240" w:lineRule="auto"/>
        <w:ind w:left="720"/>
        <w:rPr>
          <w:rFonts w:ascii="Arial" w:eastAsia="Tahoma" w:hAnsi="Arial" w:cs="Arial"/>
          <w:sz w:val="24"/>
          <w:szCs w:val="24"/>
        </w:rPr>
      </w:pPr>
      <w:r w:rsidRPr="00813EB6">
        <w:rPr>
          <w:rFonts w:ascii="Arial" w:eastAsia="Tahoma" w:hAnsi="Arial" w:cs="Arial"/>
          <w:b/>
          <w:sz w:val="24"/>
          <w:szCs w:val="24"/>
        </w:rPr>
        <w:t xml:space="preserve">j) Años de Vida Perdidos por Mortalidad Prematura– AVPMP: </w:t>
      </w:r>
      <w:r w:rsidRPr="00813EB6">
        <w:rPr>
          <w:rFonts w:ascii="Arial" w:eastAsia="Tahoma" w:hAnsi="Arial" w:cs="Arial"/>
          <w:sz w:val="24"/>
          <w:szCs w:val="24"/>
        </w:rPr>
        <w:t>Ilustra la pérdida que sufre la sociedad como consecuencia de la muerte de personas jóvenes o de fallecimientos prematuros. El supuesto en el que se basan los AVPMP, es que cuando más prematura es la muerte, mayor es la pérdida de vida.</w:t>
      </w:r>
    </w:p>
    <w:p w14:paraId="365D676B" w14:textId="77777777" w:rsidR="00813EB6" w:rsidRPr="00813EB6" w:rsidRDefault="00813EB6" w:rsidP="00813EB6">
      <w:pPr>
        <w:spacing w:after="0" w:line="240" w:lineRule="auto"/>
        <w:rPr>
          <w:rFonts w:ascii="Arial" w:eastAsia="Tahoma" w:hAnsi="Arial" w:cs="Arial"/>
          <w:sz w:val="24"/>
          <w:szCs w:val="24"/>
        </w:rPr>
      </w:pPr>
    </w:p>
    <w:p w14:paraId="3855482B" w14:textId="77777777" w:rsidR="00813EB6" w:rsidRPr="00813EB6" w:rsidRDefault="00813EB6" w:rsidP="00822B35">
      <w:pPr>
        <w:spacing w:after="0" w:line="240" w:lineRule="auto"/>
        <w:ind w:left="720"/>
        <w:rPr>
          <w:rFonts w:ascii="Arial" w:eastAsia="Tahoma" w:hAnsi="Arial" w:cs="Arial"/>
          <w:sz w:val="24"/>
          <w:szCs w:val="24"/>
        </w:rPr>
      </w:pPr>
      <w:r w:rsidRPr="00813EB6">
        <w:rPr>
          <w:rFonts w:ascii="Arial" w:eastAsia="Tahoma" w:hAnsi="Arial" w:cs="Arial"/>
          <w:b/>
          <w:sz w:val="24"/>
          <w:szCs w:val="24"/>
        </w:rPr>
        <w:lastRenderedPageBreak/>
        <w:t xml:space="preserve">k) Años de Vida Vividos con Discapacidad – AVD: </w:t>
      </w:r>
      <w:r w:rsidRPr="00813EB6">
        <w:rPr>
          <w:rFonts w:ascii="Arial" w:eastAsia="Tahoma" w:hAnsi="Arial" w:cs="Arial"/>
          <w:sz w:val="24"/>
          <w:szCs w:val="24"/>
        </w:rPr>
        <w:t>Es una medida sintética del estado de salud de la población que tiene dos dimensiones: el tiempo perdido por morir antes de lo que se tenía previsto según la expectativa de vida (Años de Vida Perdidos o AVP) y el tiempo vivido con una discapacidad (Años Vividos con Discapacidad o AVD).</w:t>
      </w:r>
    </w:p>
    <w:p w14:paraId="3ABE5A5C" w14:textId="77777777" w:rsidR="00813EB6" w:rsidRPr="00813EB6" w:rsidRDefault="00813EB6" w:rsidP="00813EB6">
      <w:pPr>
        <w:spacing w:after="0" w:line="240" w:lineRule="auto"/>
        <w:rPr>
          <w:rFonts w:ascii="Arial" w:eastAsia="Tahoma" w:hAnsi="Arial" w:cs="Arial"/>
          <w:sz w:val="24"/>
          <w:szCs w:val="24"/>
        </w:rPr>
      </w:pPr>
    </w:p>
    <w:p w14:paraId="405CE0DA" w14:textId="0AEA6CEF" w:rsidR="00813EB6" w:rsidRPr="00813EB6" w:rsidRDefault="00813EB6" w:rsidP="00822B35">
      <w:pPr>
        <w:spacing w:after="0" w:line="240" w:lineRule="auto"/>
        <w:ind w:left="720"/>
        <w:rPr>
          <w:rFonts w:ascii="Arial" w:eastAsia="Tahoma" w:hAnsi="Arial" w:cs="Arial"/>
          <w:strike/>
          <w:color w:val="000000"/>
          <w:sz w:val="24"/>
          <w:szCs w:val="24"/>
        </w:rPr>
      </w:pPr>
      <w:r w:rsidRPr="00813EB6">
        <w:rPr>
          <w:rFonts w:ascii="Arial" w:eastAsia="Tahoma" w:hAnsi="Arial" w:cs="Arial"/>
          <w:b/>
          <w:sz w:val="24"/>
          <w:szCs w:val="24"/>
        </w:rPr>
        <w:t>l) Cánceres priorizados:</w:t>
      </w:r>
      <w:r w:rsidRPr="00813EB6">
        <w:rPr>
          <w:rFonts w:ascii="Arial" w:eastAsia="Tahoma" w:hAnsi="Arial" w:cs="Arial"/>
          <w:sz w:val="24"/>
          <w:szCs w:val="24"/>
        </w:rPr>
        <w:t xml:space="preserve"> Son los cánceres que, desde la perspectiva epidemiológica, de carga de la enfermedad y de interés de salud pública, son priorizados en la política de salud </w:t>
      </w:r>
      <w:r w:rsidRPr="00DC4158">
        <w:rPr>
          <w:rFonts w:ascii="Arial" w:eastAsia="Tahoma" w:hAnsi="Arial" w:cs="Arial"/>
          <w:sz w:val="24"/>
          <w:szCs w:val="24"/>
        </w:rPr>
        <w:t>expedida por el Ministerio de Salud y Protección Social.</w:t>
      </w:r>
    </w:p>
    <w:p w14:paraId="462AE15D" w14:textId="77777777" w:rsidR="00813EB6" w:rsidRPr="00813EB6" w:rsidRDefault="00813EB6" w:rsidP="00813EB6">
      <w:pPr>
        <w:spacing w:after="0" w:line="240" w:lineRule="auto"/>
        <w:jc w:val="center"/>
        <w:rPr>
          <w:rFonts w:ascii="Arial" w:eastAsia="Tahoma" w:hAnsi="Arial" w:cs="Arial"/>
          <w:strike/>
          <w:sz w:val="24"/>
          <w:szCs w:val="24"/>
        </w:rPr>
      </w:pPr>
    </w:p>
    <w:p w14:paraId="143AD90E" w14:textId="77777777" w:rsidR="00CE3326" w:rsidRPr="00CE3326" w:rsidRDefault="00CE3326" w:rsidP="00CE3326">
      <w:pPr>
        <w:spacing w:after="0" w:line="240" w:lineRule="auto"/>
        <w:ind w:left="2" w:hanging="2"/>
        <w:jc w:val="center"/>
        <w:rPr>
          <w:rFonts w:ascii="Arial" w:eastAsia="Tahoma" w:hAnsi="Arial" w:cs="Arial"/>
          <w:sz w:val="24"/>
          <w:szCs w:val="24"/>
        </w:rPr>
      </w:pPr>
      <w:r w:rsidRPr="00CE3326">
        <w:rPr>
          <w:rFonts w:ascii="Arial" w:eastAsia="Tahoma" w:hAnsi="Arial" w:cs="Arial"/>
          <w:b/>
          <w:sz w:val="24"/>
          <w:szCs w:val="24"/>
        </w:rPr>
        <w:t>Capítulo II</w:t>
      </w:r>
    </w:p>
    <w:p w14:paraId="5E5635EC" w14:textId="77777777" w:rsidR="00CE3326" w:rsidRPr="00CE3326" w:rsidRDefault="00CE3326" w:rsidP="00CE3326">
      <w:pPr>
        <w:spacing w:after="0" w:line="240" w:lineRule="auto"/>
        <w:ind w:left="2" w:hanging="2"/>
        <w:jc w:val="center"/>
        <w:rPr>
          <w:rFonts w:ascii="Arial" w:eastAsia="Tahoma" w:hAnsi="Arial" w:cs="Arial"/>
          <w:sz w:val="24"/>
          <w:szCs w:val="24"/>
        </w:rPr>
      </w:pPr>
      <w:r w:rsidRPr="00CE3326">
        <w:rPr>
          <w:rFonts w:ascii="Arial" w:eastAsia="Tahoma" w:hAnsi="Arial" w:cs="Arial"/>
          <w:b/>
          <w:sz w:val="24"/>
          <w:szCs w:val="24"/>
        </w:rPr>
        <w:t>Acciones. Manejo de la enfermedad. Manejo adecuado de recursos.</w:t>
      </w:r>
    </w:p>
    <w:p w14:paraId="2C5F7DE5" w14:textId="77777777" w:rsidR="00CE3326" w:rsidRPr="00CE3326" w:rsidRDefault="00CE3326" w:rsidP="00CE3326">
      <w:pPr>
        <w:spacing w:after="0" w:line="240" w:lineRule="auto"/>
        <w:ind w:left="2" w:hanging="2"/>
        <w:rPr>
          <w:rFonts w:ascii="Arial" w:eastAsia="Tahoma" w:hAnsi="Arial" w:cs="Arial"/>
          <w:sz w:val="24"/>
          <w:szCs w:val="24"/>
        </w:rPr>
      </w:pPr>
    </w:p>
    <w:p w14:paraId="666D87E4" w14:textId="77777777" w:rsidR="00CE3326" w:rsidRPr="00CE3326" w:rsidRDefault="00CE3326" w:rsidP="00CE3326">
      <w:pPr>
        <w:spacing w:after="0" w:line="240" w:lineRule="auto"/>
        <w:ind w:left="2" w:hanging="2"/>
        <w:rPr>
          <w:rFonts w:ascii="Arial" w:eastAsia="Tahoma" w:hAnsi="Arial" w:cs="Arial"/>
          <w:sz w:val="24"/>
          <w:szCs w:val="24"/>
        </w:rPr>
      </w:pPr>
      <w:r w:rsidRPr="00CE3326">
        <w:rPr>
          <w:rFonts w:ascii="Arial" w:eastAsia="Tahoma" w:hAnsi="Arial" w:cs="Arial"/>
          <w:b/>
          <w:sz w:val="24"/>
          <w:szCs w:val="24"/>
        </w:rPr>
        <w:t xml:space="preserve">Artículo 5. </w:t>
      </w:r>
      <w:r w:rsidRPr="00CE3326">
        <w:rPr>
          <w:rFonts w:ascii="Arial" w:eastAsia="Tahoma" w:hAnsi="Arial" w:cs="Arial"/>
          <w:sz w:val="24"/>
          <w:szCs w:val="24"/>
        </w:rPr>
        <w:t>Adiciónese el parágrafo 4 al artículo 5 de la Ley 1384 de 2010, el cual quedará así:</w:t>
      </w:r>
    </w:p>
    <w:p w14:paraId="13031D88" w14:textId="77777777" w:rsidR="00CE3326" w:rsidRPr="00CE3326" w:rsidRDefault="00CE3326" w:rsidP="00CE3326">
      <w:pPr>
        <w:spacing w:after="0" w:line="240" w:lineRule="auto"/>
        <w:ind w:left="2" w:hanging="2"/>
        <w:rPr>
          <w:rFonts w:ascii="Arial" w:eastAsia="Tahoma" w:hAnsi="Arial" w:cs="Arial"/>
          <w:sz w:val="24"/>
          <w:szCs w:val="24"/>
        </w:rPr>
      </w:pPr>
    </w:p>
    <w:p w14:paraId="7990ACDD" w14:textId="3E5A1F11" w:rsidR="00CE3326" w:rsidRPr="00CE3326" w:rsidRDefault="00CE3326" w:rsidP="00822B35">
      <w:pPr>
        <w:spacing w:after="0" w:line="240" w:lineRule="auto"/>
        <w:ind w:left="720"/>
        <w:rPr>
          <w:rFonts w:ascii="Arial" w:eastAsia="Tahoma" w:hAnsi="Arial" w:cs="Arial"/>
          <w:sz w:val="24"/>
          <w:szCs w:val="24"/>
        </w:rPr>
      </w:pPr>
      <w:r w:rsidRPr="00822B35">
        <w:rPr>
          <w:rFonts w:ascii="Arial" w:eastAsia="Tahoma" w:hAnsi="Arial" w:cs="Arial"/>
          <w:b/>
          <w:sz w:val="24"/>
          <w:szCs w:val="24"/>
        </w:rPr>
        <w:t>Parágrafo 4</w:t>
      </w:r>
      <w:r w:rsidR="00822B35">
        <w:rPr>
          <w:rFonts w:ascii="Arial" w:eastAsia="Tahoma" w:hAnsi="Arial" w:cs="Arial"/>
          <w:b/>
          <w:sz w:val="24"/>
          <w:szCs w:val="24"/>
        </w:rPr>
        <w:t>.</w:t>
      </w:r>
      <w:r w:rsidRPr="00CE3326">
        <w:rPr>
          <w:rFonts w:ascii="Arial" w:eastAsia="Tahoma" w:hAnsi="Arial" w:cs="Arial"/>
          <w:sz w:val="24"/>
          <w:szCs w:val="24"/>
        </w:rPr>
        <w:t xml:space="preserve"> Se desarrollarán acciones en política pública concretas encaminadas a la prevención, la detección temprana, el diagnóstico oportuno y el manejo integral en el ciclo de la enfermedad para los cánceres priorizados que garanticen la reducción de la carga de la enfermedad en el territorio y deber</w:t>
      </w:r>
      <w:r w:rsidR="00822B35">
        <w:rPr>
          <w:rFonts w:ascii="Arial" w:eastAsia="Tahoma" w:hAnsi="Arial" w:cs="Arial"/>
          <w:sz w:val="24"/>
          <w:szCs w:val="24"/>
        </w:rPr>
        <w:t>án verse reflejados en el PNCC.</w:t>
      </w:r>
    </w:p>
    <w:p w14:paraId="3E449EE9" w14:textId="77777777" w:rsidR="00CE3326" w:rsidRPr="007A722F" w:rsidRDefault="00CE3326" w:rsidP="007A722F">
      <w:pPr>
        <w:spacing w:after="0" w:line="240" w:lineRule="auto"/>
        <w:rPr>
          <w:rFonts w:ascii="Arial" w:eastAsia="Tahoma" w:hAnsi="Arial" w:cs="Arial"/>
          <w:sz w:val="24"/>
          <w:szCs w:val="24"/>
        </w:rPr>
      </w:pPr>
    </w:p>
    <w:p w14:paraId="69911799" w14:textId="356569AE" w:rsidR="00CE3326" w:rsidRPr="007A722F" w:rsidRDefault="007A722F" w:rsidP="007A722F">
      <w:pPr>
        <w:spacing w:after="0" w:line="240" w:lineRule="auto"/>
        <w:rPr>
          <w:rFonts w:ascii="Arial" w:eastAsia="Tahoma" w:hAnsi="Arial" w:cs="Arial"/>
          <w:sz w:val="24"/>
          <w:szCs w:val="24"/>
        </w:rPr>
      </w:pPr>
      <w:r w:rsidRPr="007A722F">
        <w:rPr>
          <w:rFonts w:ascii="Arial" w:eastAsia="Tahoma" w:hAnsi="Arial" w:cs="Arial"/>
          <w:b/>
          <w:sz w:val="24"/>
          <w:szCs w:val="24"/>
        </w:rPr>
        <w:t>Artículo 6. Atención e integralidad en el manejo de la enfermedad.</w:t>
      </w:r>
      <w:r w:rsidRPr="007A722F">
        <w:rPr>
          <w:rFonts w:ascii="Arial" w:eastAsia="Tahoma" w:hAnsi="Arial" w:cs="Arial"/>
          <w:sz w:val="24"/>
          <w:szCs w:val="24"/>
        </w:rPr>
        <w:t xml:space="preserve"> Las Entidades Promotoras de Servicios de Salud (EPS), Entidades Administradoras de Planes de Beneficios (EAPB)</w:t>
      </w:r>
      <w:r>
        <w:rPr>
          <w:rFonts w:ascii="Arial" w:eastAsia="Tahoma" w:hAnsi="Arial" w:cs="Arial"/>
          <w:sz w:val="24"/>
          <w:szCs w:val="24"/>
        </w:rPr>
        <w:t xml:space="preserve">, </w:t>
      </w:r>
      <w:r w:rsidRPr="007A722F">
        <w:rPr>
          <w:rFonts w:ascii="Arial" w:eastAsia="Tahoma" w:hAnsi="Arial" w:cs="Arial"/>
          <w:sz w:val="24"/>
          <w:szCs w:val="24"/>
        </w:rPr>
        <w:t>Entidades Obligadas a Compensar (EOC), e IPS garantizarán la atención e integralidad en el manejo de la enfermedad y acceso a los tratamientos, independientemente del régimen al cual pertenezcan.</w:t>
      </w:r>
    </w:p>
    <w:p w14:paraId="7E43494E" w14:textId="77777777" w:rsidR="00CE3326" w:rsidRPr="0002578C" w:rsidRDefault="00CE3326" w:rsidP="00CE3326">
      <w:pPr>
        <w:spacing w:after="0" w:line="240" w:lineRule="auto"/>
        <w:ind w:left="2" w:hanging="2"/>
        <w:rPr>
          <w:rFonts w:ascii="Arial" w:eastAsia="Tahoma" w:hAnsi="Arial" w:cs="Arial"/>
          <w:sz w:val="24"/>
          <w:szCs w:val="24"/>
        </w:rPr>
      </w:pPr>
    </w:p>
    <w:p w14:paraId="6ED059F2" w14:textId="2A7CA61B" w:rsidR="0002578C" w:rsidRPr="0002578C" w:rsidRDefault="0002578C" w:rsidP="00CE3326">
      <w:pPr>
        <w:spacing w:after="0" w:line="240" w:lineRule="auto"/>
        <w:ind w:left="2" w:hanging="2"/>
        <w:rPr>
          <w:rFonts w:ascii="Arial" w:eastAsia="Tahoma" w:hAnsi="Arial" w:cs="Arial"/>
          <w:sz w:val="24"/>
          <w:szCs w:val="24"/>
        </w:rPr>
      </w:pPr>
      <w:r w:rsidRPr="0002578C">
        <w:rPr>
          <w:rFonts w:ascii="Arial" w:eastAsia="Tahoma" w:hAnsi="Arial" w:cs="Arial"/>
          <w:b/>
          <w:sz w:val="24"/>
          <w:szCs w:val="24"/>
        </w:rPr>
        <w:t>Artículo 7. Disponibilidad y manejo adecuado de recursos:</w:t>
      </w:r>
      <w:r w:rsidRPr="0002578C">
        <w:rPr>
          <w:rFonts w:ascii="Arial" w:eastAsia="Tahoma" w:hAnsi="Arial" w:cs="Arial"/>
          <w:sz w:val="24"/>
          <w:szCs w:val="24"/>
        </w:rPr>
        <w:t xml:space="preserve"> Las entidades responsables de pago deberán asegurar la disponibilidad y el manejo adecuado y eficiente de los recursos destinados a la implementación de los planes y al cumplimiento de los indicadores de proceso y de resultado propuestos por la Cuenta de Alto Costo.</w:t>
      </w:r>
    </w:p>
    <w:p w14:paraId="046B7BE5" w14:textId="3509CE22" w:rsidR="0002578C" w:rsidRPr="00C0299B" w:rsidRDefault="0002578C" w:rsidP="00C0299B">
      <w:pPr>
        <w:spacing w:after="0" w:line="240" w:lineRule="auto"/>
        <w:rPr>
          <w:rFonts w:ascii="Arial" w:eastAsia="Tahoma" w:hAnsi="Arial" w:cs="Arial"/>
          <w:b/>
          <w:sz w:val="24"/>
          <w:szCs w:val="24"/>
        </w:rPr>
      </w:pPr>
    </w:p>
    <w:p w14:paraId="2DD7F6C7" w14:textId="3C030568" w:rsidR="00C0299B" w:rsidRPr="00C0299B" w:rsidRDefault="00C0299B" w:rsidP="00C0299B">
      <w:pPr>
        <w:spacing w:after="0" w:line="240" w:lineRule="auto"/>
        <w:rPr>
          <w:rFonts w:ascii="Arial" w:eastAsia="Tahoma" w:hAnsi="Arial" w:cs="Arial"/>
          <w:sz w:val="24"/>
          <w:szCs w:val="24"/>
        </w:rPr>
      </w:pPr>
      <w:r w:rsidRPr="00C0299B">
        <w:rPr>
          <w:rFonts w:ascii="Arial" w:eastAsia="Tahoma" w:hAnsi="Arial" w:cs="Arial"/>
          <w:b/>
          <w:sz w:val="24"/>
          <w:szCs w:val="24"/>
        </w:rPr>
        <w:t xml:space="preserve">Artículo 8. </w:t>
      </w:r>
      <w:r w:rsidRPr="00C0299B">
        <w:rPr>
          <w:rFonts w:ascii="Arial" w:eastAsia="Tahoma" w:hAnsi="Arial" w:cs="Arial"/>
          <w:sz w:val="24"/>
          <w:szCs w:val="24"/>
        </w:rPr>
        <w:t xml:space="preserve">Adiciónese </w:t>
      </w:r>
      <w:r w:rsidRPr="00C0299B">
        <w:rPr>
          <w:rFonts w:ascii="Arial" w:eastAsia="Tahoma" w:hAnsi="Arial" w:cs="Arial"/>
          <w:bCs/>
          <w:sz w:val="24"/>
          <w:szCs w:val="24"/>
        </w:rPr>
        <w:t>un</w:t>
      </w:r>
      <w:r>
        <w:rPr>
          <w:rFonts w:ascii="Arial" w:eastAsia="Tahoma" w:hAnsi="Arial" w:cs="Arial"/>
          <w:bCs/>
          <w:sz w:val="24"/>
          <w:szCs w:val="24"/>
        </w:rPr>
        <w:t xml:space="preserve"> </w:t>
      </w:r>
      <w:r w:rsidRPr="00C0299B">
        <w:rPr>
          <w:rFonts w:ascii="Arial" w:eastAsia="Tahoma" w:hAnsi="Arial" w:cs="Arial"/>
          <w:sz w:val="24"/>
          <w:szCs w:val="24"/>
        </w:rPr>
        <w:t>parágrafo 2 al artículo 7 de la Ley 1384 de 2010, el cual quedará así:</w:t>
      </w:r>
    </w:p>
    <w:p w14:paraId="5122F2D4" w14:textId="77777777" w:rsidR="00C0299B" w:rsidRPr="00C0299B" w:rsidRDefault="00C0299B" w:rsidP="00C0299B">
      <w:pPr>
        <w:spacing w:after="0" w:line="240" w:lineRule="auto"/>
        <w:rPr>
          <w:rFonts w:ascii="Arial" w:eastAsia="Tahoma" w:hAnsi="Arial" w:cs="Arial"/>
          <w:sz w:val="24"/>
          <w:szCs w:val="24"/>
        </w:rPr>
      </w:pPr>
    </w:p>
    <w:p w14:paraId="5435C51E" w14:textId="44CA943E" w:rsidR="00C0299B" w:rsidRPr="00C0299B" w:rsidRDefault="00C0299B" w:rsidP="00822B35">
      <w:pPr>
        <w:spacing w:after="0" w:line="240" w:lineRule="auto"/>
        <w:ind w:left="720"/>
        <w:rPr>
          <w:rFonts w:ascii="Arial" w:eastAsia="Tahoma" w:hAnsi="Arial" w:cs="Arial"/>
          <w:b/>
          <w:sz w:val="24"/>
          <w:szCs w:val="24"/>
        </w:rPr>
      </w:pPr>
      <w:r w:rsidRPr="00C0299B">
        <w:rPr>
          <w:rFonts w:ascii="Arial" w:eastAsia="Tahoma" w:hAnsi="Arial" w:cs="Arial"/>
          <w:b/>
          <w:sz w:val="24"/>
          <w:szCs w:val="24"/>
          <w:highlight w:val="white"/>
        </w:rPr>
        <w:t>Parágrafo 2. Medición de los resultados y desenlaces clínicos:</w:t>
      </w:r>
      <w:r w:rsidRPr="00C0299B">
        <w:rPr>
          <w:rFonts w:ascii="Arial" w:eastAsia="Tahoma" w:hAnsi="Arial" w:cs="Arial"/>
          <w:sz w:val="24"/>
          <w:szCs w:val="24"/>
          <w:highlight w:val="white"/>
        </w:rPr>
        <w:t xml:space="preserve"> Como</w:t>
      </w:r>
      <w:r w:rsidRPr="00C0299B">
        <w:rPr>
          <w:rFonts w:ascii="Arial" w:eastAsia="Tahoma" w:hAnsi="Arial" w:cs="Arial"/>
          <w:sz w:val="24"/>
          <w:szCs w:val="24"/>
        </w:rPr>
        <w:t xml:space="preserve"> parte de la gestión integral del riesgo del paciente oncológico, las EPS, EAPB/EOC e IPS deberán reportar a la Cuenta de Alto Costo la medición de los indicadores de proceso y resultado definidos por esta entidad.</w:t>
      </w:r>
    </w:p>
    <w:p w14:paraId="6AE001A1" w14:textId="77777777" w:rsidR="00CE3326" w:rsidRDefault="00CE3326" w:rsidP="00CE3326">
      <w:pPr>
        <w:spacing w:after="0" w:line="240" w:lineRule="auto"/>
        <w:ind w:left="2" w:hanging="2"/>
        <w:rPr>
          <w:rFonts w:ascii="Arial" w:eastAsia="Tahoma" w:hAnsi="Arial" w:cs="Arial"/>
          <w:sz w:val="24"/>
          <w:szCs w:val="24"/>
        </w:rPr>
      </w:pPr>
    </w:p>
    <w:p w14:paraId="35A446C3" w14:textId="77777777" w:rsidR="00822B35" w:rsidRDefault="00822B35" w:rsidP="00CE3326">
      <w:pPr>
        <w:spacing w:after="0" w:line="240" w:lineRule="auto"/>
        <w:ind w:left="2" w:hanging="2"/>
        <w:rPr>
          <w:rFonts w:ascii="Arial" w:eastAsia="Tahoma" w:hAnsi="Arial" w:cs="Arial"/>
          <w:sz w:val="24"/>
          <w:szCs w:val="24"/>
        </w:rPr>
      </w:pPr>
    </w:p>
    <w:p w14:paraId="7A3B803A" w14:textId="77777777" w:rsidR="00822B35" w:rsidRPr="00CE3326" w:rsidRDefault="00822B35" w:rsidP="00CE3326">
      <w:pPr>
        <w:spacing w:after="0" w:line="240" w:lineRule="auto"/>
        <w:ind w:left="2" w:hanging="2"/>
        <w:rPr>
          <w:rFonts w:ascii="Arial" w:eastAsia="Tahoma" w:hAnsi="Arial" w:cs="Arial"/>
          <w:sz w:val="24"/>
          <w:szCs w:val="24"/>
        </w:rPr>
      </w:pPr>
    </w:p>
    <w:p w14:paraId="2EAB6E7B" w14:textId="77777777" w:rsidR="00CE3326" w:rsidRPr="00CE3326" w:rsidRDefault="00CE3326" w:rsidP="00CE3326">
      <w:pPr>
        <w:spacing w:after="0" w:line="240" w:lineRule="auto"/>
        <w:ind w:left="2" w:hanging="2"/>
        <w:jc w:val="center"/>
        <w:rPr>
          <w:rFonts w:ascii="Arial" w:eastAsia="Tahoma" w:hAnsi="Arial" w:cs="Arial"/>
          <w:sz w:val="24"/>
          <w:szCs w:val="24"/>
        </w:rPr>
      </w:pPr>
      <w:r w:rsidRPr="00CE3326">
        <w:rPr>
          <w:rFonts w:ascii="Arial" w:eastAsia="Tahoma" w:hAnsi="Arial" w:cs="Arial"/>
          <w:b/>
          <w:sz w:val="24"/>
          <w:szCs w:val="24"/>
        </w:rPr>
        <w:t>Capítulo III</w:t>
      </w:r>
    </w:p>
    <w:p w14:paraId="607EF20A" w14:textId="75BFAE43" w:rsidR="00CE3326" w:rsidRPr="00CE3326" w:rsidRDefault="000905AD" w:rsidP="00CE3326">
      <w:pPr>
        <w:spacing w:after="0" w:line="240" w:lineRule="auto"/>
        <w:ind w:left="2" w:hanging="2"/>
        <w:jc w:val="center"/>
        <w:rPr>
          <w:rFonts w:ascii="Arial" w:eastAsia="Tahoma" w:hAnsi="Arial" w:cs="Arial"/>
          <w:sz w:val="24"/>
          <w:szCs w:val="24"/>
        </w:rPr>
      </w:pPr>
      <w:r>
        <w:rPr>
          <w:rFonts w:ascii="Arial" w:eastAsia="Tahoma" w:hAnsi="Arial" w:cs="Arial"/>
          <w:b/>
          <w:sz w:val="24"/>
          <w:szCs w:val="24"/>
        </w:rPr>
        <w:t>Disposiciones varias</w:t>
      </w:r>
    </w:p>
    <w:p w14:paraId="01185EE7" w14:textId="77777777" w:rsidR="00CE3326" w:rsidRPr="00CE3326" w:rsidRDefault="00CE3326" w:rsidP="00CE3326">
      <w:pPr>
        <w:spacing w:after="0" w:line="240" w:lineRule="auto"/>
        <w:ind w:left="2" w:hanging="2"/>
        <w:rPr>
          <w:rFonts w:ascii="Arial" w:eastAsia="Tahoma" w:hAnsi="Arial" w:cs="Arial"/>
          <w:sz w:val="24"/>
          <w:szCs w:val="24"/>
        </w:rPr>
      </w:pPr>
    </w:p>
    <w:p w14:paraId="78D5553A" w14:textId="77777777" w:rsidR="00565376" w:rsidRPr="00565376" w:rsidRDefault="00CE3326" w:rsidP="00565376">
      <w:pPr>
        <w:spacing w:after="0" w:line="240" w:lineRule="auto"/>
        <w:rPr>
          <w:rFonts w:ascii="Arial" w:eastAsia="Tahoma" w:hAnsi="Arial" w:cs="Arial"/>
          <w:sz w:val="24"/>
          <w:szCs w:val="24"/>
        </w:rPr>
      </w:pPr>
      <w:r w:rsidRPr="00565376">
        <w:rPr>
          <w:rFonts w:ascii="Arial" w:eastAsia="Tahoma" w:hAnsi="Arial" w:cs="Arial"/>
          <w:b/>
          <w:sz w:val="24"/>
          <w:szCs w:val="24"/>
        </w:rPr>
        <w:t xml:space="preserve">Artículo 9. </w:t>
      </w:r>
      <w:r w:rsidR="00565376" w:rsidRPr="00565376">
        <w:rPr>
          <w:rFonts w:ascii="Arial" w:eastAsia="Tahoma" w:hAnsi="Arial" w:cs="Arial"/>
          <w:sz w:val="24"/>
          <w:szCs w:val="24"/>
        </w:rPr>
        <w:t>Adiciónese el parágrafo 2 al artículo 18 de la Ley 1384 de 2010, el cual quedará así:</w:t>
      </w:r>
    </w:p>
    <w:p w14:paraId="2B339D10" w14:textId="57B325A8" w:rsidR="00565376" w:rsidRPr="00565376" w:rsidRDefault="00565376" w:rsidP="00565376">
      <w:pPr>
        <w:spacing w:after="0" w:line="240" w:lineRule="auto"/>
        <w:rPr>
          <w:rFonts w:ascii="Arial" w:eastAsia="Tahoma" w:hAnsi="Arial" w:cs="Arial"/>
          <w:sz w:val="24"/>
          <w:szCs w:val="24"/>
        </w:rPr>
      </w:pPr>
    </w:p>
    <w:p w14:paraId="583A49D3" w14:textId="6E2A077B" w:rsidR="00565376" w:rsidRPr="00565376" w:rsidRDefault="00565376" w:rsidP="00822B35">
      <w:pPr>
        <w:spacing w:after="0" w:line="240" w:lineRule="auto"/>
        <w:ind w:left="720"/>
        <w:rPr>
          <w:rFonts w:ascii="Arial" w:eastAsia="Tahoma" w:hAnsi="Arial" w:cs="Arial"/>
          <w:sz w:val="24"/>
          <w:szCs w:val="24"/>
        </w:rPr>
      </w:pPr>
      <w:r w:rsidRPr="00565376">
        <w:rPr>
          <w:rFonts w:ascii="Arial" w:eastAsia="Tahoma" w:hAnsi="Arial" w:cs="Arial"/>
          <w:b/>
          <w:sz w:val="24"/>
          <w:szCs w:val="24"/>
        </w:rPr>
        <w:t>Parágrafo 2.</w:t>
      </w:r>
      <w:r w:rsidRPr="00565376">
        <w:rPr>
          <w:rFonts w:ascii="Arial" w:eastAsia="Tahoma" w:hAnsi="Arial" w:cs="Arial"/>
          <w:sz w:val="24"/>
          <w:szCs w:val="24"/>
        </w:rPr>
        <w:t xml:space="preserve"> El Instituto Nacional de Cancerología y las Sociedades Científicas Clínicas y/o Quirúrgicas relacionadas directamente con temas de oncología y un representante de las asociaciones de pacientes debidamente organizadas, desarrollarán las recomendaciones sobre los tratamientos, las cuales deberán ser parte integral de las guías de práctica clínica desarrolladas por el Ministerio de Salud y Protección Social. El IETS apoyará metodológicamente el desarrollo y actualización anual de éstas recomendaciones.</w:t>
      </w:r>
      <w:r w:rsidR="00211077">
        <w:rPr>
          <w:rFonts w:ascii="Arial" w:eastAsia="Tahoma" w:hAnsi="Arial" w:cs="Arial"/>
          <w:sz w:val="24"/>
          <w:szCs w:val="24"/>
        </w:rPr>
        <w:t xml:space="preserve"> </w:t>
      </w:r>
    </w:p>
    <w:p w14:paraId="5C407418" w14:textId="1FEA9AF6" w:rsidR="00CE3326" w:rsidRPr="00565376" w:rsidRDefault="00CE3326" w:rsidP="00565376">
      <w:pPr>
        <w:spacing w:after="0" w:line="240" w:lineRule="auto"/>
        <w:rPr>
          <w:rFonts w:ascii="Arial" w:eastAsia="Tahoma" w:hAnsi="Arial" w:cs="Arial"/>
          <w:sz w:val="24"/>
          <w:szCs w:val="24"/>
        </w:rPr>
      </w:pPr>
    </w:p>
    <w:p w14:paraId="68A77C39" w14:textId="2F0A476F" w:rsidR="00774632" w:rsidRPr="00774632" w:rsidRDefault="00774632" w:rsidP="00CE3326">
      <w:pPr>
        <w:spacing w:after="0" w:line="240" w:lineRule="auto"/>
        <w:ind w:left="2" w:hanging="2"/>
        <w:rPr>
          <w:rFonts w:ascii="Arial" w:eastAsia="Tahoma" w:hAnsi="Arial" w:cs="Arial"/>
          <w:sz w:val="24"/>
          <w:szCs w:val="24"/>
        </w:rPr>
      </w:pPr>
      <w:r w:rsidRPr="00774632">
        <w:rPr>
          <w:rFonts w:ascii="Arial" w:eastAsia="Tahoma" w:hAnsi="Arial" w:cs="Arial"/>
          <w:b/>
          <w:sz w:val="24"/>
          <w:szCs w:val="24"/>
        </w:rPr>
        <w:t>Artículo 10. Reporte de información de los pacientes con cáncer.</w:t>
      </w:r>
      <w:r w:rsidRPr="00774632">
        <w:rPr>
          <w:rFonts w:ascii="Arial" w:eastAsia="Tahoma" w:hAnsi="Arial" w:cs="Arial"/>
          <w:sz w:val="24"/>
          <w:szCs w:val="24"/>
        </w:rPr>
        <w:t xml:space="preserve"> Las EPS, EAPB/EOC e IPS deberán reportar toda la información relacionada a la gestión del riesgo de los pacientes con cáncer para la toma de decisiones en salud pública. Este reporte deberá actualizarse al menos de manera trimestral al Ministerio de Salud y Protección Social y a la Cuenta de Alto Costo.</w:t>
      </w:r>
    </w:p>
    <w:p w14:paraId="75C2B168" w14:textId="1484BA2C" w:rsidR="00774632" w:rsidRDefault="00774632" w:rsidP="00CE3326">
      <w:pPr>
        <w:spacing w:after="0" w:line="240" w:lineRule="auto"/>
        <w:ind w:left="2" w:hanging="2"/>
        <w:rPr>
          <w:rFonts w:ascii="Arial" w:eastAsia="Tahoma" w:hAnsi="Arial" w:cs="Arial"/>
          <w:b/>
          <w:sz w:val="24"/>
          <w:szCs w:val="24"/>
          <w:highlight w:val="yellow"/>
        </w:rPr>
      </w:pPr>
    </w:p>
    <w:p w14:paraId="6A0488E9" w14:textId="30C9E99F" w:rsidR="00CE3326" w:rsidRPr="00CE3326" w:rsidRDefault="00CE3326" w:rsidP="00CE3326">
      <w:pPr>
        <w:spacing w:after="0" w:line="240" w:lineRule="auto"/>
        <w:ind w:left="2" w:hanging="2"/>
        <w:rPr>
          <w:rFonts w:ascii="Arial" w:eastAsia="Tahoma" w:hAnsi="Arial" w:cs="Arial"/>
          <w:sz w:val="24"/>
          <w:szCs w:val="24"/>
        </w:rPr>
      </w:pPr>
      <w:r w:rsidRPr="00CE3326">
        <w:rPr>
          <w:rFonts w:ascii="Arial" w:eastAsia="Tahoma" w:hAnsi="Arial" w:cs="Arial"/>
          <w:b/>
          <w:sz w:val="24"/>
          <w:szCs w:val="24"/>
        </w:rPr>
        <w:t>Artículo 1</w:t>
      </w:r>
      <w:r w:rsidR="00774632">
        <w:rPr>
          <w:rFonts w:ascii="Arial" w:eastAsia="Tahoma" w:hAnsi="Arial" w:cs="Arial"/>
          <w:b/>
          <w:sz w:val="24"/>
          <w:szCs w:val="24"/>
        </w:rPr>
        <w:t>1</w:t>
      </w:r>
      <w:r w:rsidRPr="00CE3326">
        <w:rPr>
          <w:rFonts w:ascii="Arial" w:eastAsia="Tahoma" w:hAnsi="Arial" w:cs="Arial"/>
          <w:b/>
          <w:sz w:val="24"/>
          <w:szCs w:val="24"/>
        </w:rPr>
        <w:t xml:space="preserve">. </w:t>
      </w:r>
      <w:r w:rsidRPr="00CE3326">
        <w:rPr>
          <w:rFonts w:ascii="Arial" w:eastAsia="Tahoma" w:hAnsi="Arial" w:cs="Arial"/>
          <w:sz w:val="24"/>
          <w:szCs w:val="24"/>
        </w:rPr>
        <w:t>La presente ley rige a partir de su sanción y publicación, derogando todas aquellas disposiciones que le sean contrarias.</w:t>
      </w:r>
    </w:p>
    <w:p w14:paraId="0B95B63A" w14:textId="35D85A9F" w:rsidR="00CE3326" w:rsidRPr="00CE3326" w:rsidRDefault="00CE3326" w:rsidP="00CE3326">
      <w:pPr>
        <w:pStyle w:val="Sinespaciado"/>
        <w:jc w:val="center"/>
        <w:rPr>
          <w:rFonts w:ascii="Arial" w:hAnsi="Arial" w:cs="Arial"/>
          <w:b/>
          <w:color w:val="000000" w:themeColor="text1"/>
          <w:sz w:val="24"/>
          <w:szCs w:val="24"/>
        </w:rPr>
      </w:pPr>
    </w:p>
    <w:p w14:paraId="57F708F9" w14:textId="4BFBAF52" w:rsidR="0060437D" w:rsidRPr="00D15126" w:rsidRDefault="0060437D" w:rsidP="00D15126">
      <w:pPr>
        <w:pBdr>
          <w:top w:val="nil"/>
          <w:left w:val="nil"/>
          <w:bottom w:val="nil"/>
          <w:right w:val="nil"/>
          <w:between w:val="nil"/>
        </w:pBdr>
        <w:spacing w:after="0" w:line="240" w:lineRule="auto"/>
        <w:rPr>
          <w:rFonts w:ascii="Arial" w:eastAsia="Arial" w:hAnsi="Arial" w:cs="Arial"/>
          <w:color w:val="000000" w:themeColor="text1"/>
          <w:sz w:val="24"/>
          <w:szCs w:val="24"/>
        </w:rPr>
      </w:pPr>
    </w:p>
    <w:p w14:paraId="03FC9CE9" w14:textId="4A78E2ED" w:rsidR="00204BAC" w:rsidRPr="00045F8F" w:rsidRDefault="00212A5B" w:rsidP="00204BAC">
      <w:pPr>
        <w:pBdr>
          <w:top w:val="nil"/>
          <w:left w:val="nil"/>
          <w:bottom w:val="nil"/>
          <w:right w:val="nil"/>
          <w:between w:val="nil"/>
        </w:pBdr>
        <w:spacing w:after="0" w:line="240" w:lineRule="auto"/>
        <w:rPr>
          <w:rFonts w:ascii="Arial" w:eastAsia="Arial" w:hAnsi="Arial" w:cs="Arial"/>
          <w:color w:val="000000" w:themeColor="text1"/>
          <w:sz w:val="24"/>
          <w:szCs w:val="24"/>
        </w:rPr>
      </w:pPr>
      <w:r>
        <w:rPr>
          <w:rFonts w:ascii="Arial" w:eastAsia="Arial" w:hAnsi="Arial" w:cs="Arial"/>
          <w:b/>
          <w:noProof/>
          <w:color w:val="000000" w:themeColor="text1"/>
          <w:sz w:val="24"/>
          <w:szCs w:val="24"/>
        </w:rPr>
        <w:drawing>
          <wp:anchor distT="0" distB="0" distL="114300" distR="114300" simplePos="0" relativeHeight="251685888" behindDoc="1" locked="0" layoutInCell="1" allowOverlap="1" wp14:anchorId="7E46D620" wp14:editId="004858DF">
            <wp:simplePos x="0" y="0"/>
            <wp:positionH relativeFrom="column">
              <wp:posOffset>3415665</wp:posOffset>
            </wp:positionH>
            <wp:positionV relativeFrom="paragraph">
              <wp:posOffset>139065</wp:posOffset>
            </wp:positionV>
            <wp:extent cx="1844675" cy="139954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JEB.png"/>
                    <pic:cNvPicPr/>
                  </pic:nvPicPr>
                  <pic:blipFill>
                    <a:blip r:embed="rId17">
                      <a:extLst>
                        <a:ext uri="{28A0092B-C50C-407E-A947-70E740481C1C}">
                          <a14:useLocalDpi xmlns:a14="http://schemas.microsoft.com/office/drawing/2010/main" val="0"/>
                        </a:ext>
                      </a:extLst>
                    </a:blip>
                    <a:stretch>
                      <a:fillRect/>
                    </a:stretch>
                  </pic:blipFill>
                  <pic:spPr>
                    <a:xfrm>
                      <a:off x="0" y="0"/>
                      <a:ext cx="1844675" cy="1399540"/>
                    </a:xfrm>
                    <a:prstGeom prst="rect">
                      <a:avLst/>
                    </a:prstGeom>
                  </pic:spPr>
                </pic:pic>
              </a:graphicData>
            </a:graphic>
            <wp14:sizeRelH relativeFrom="page">
              <wp14:pctWidth>0</wp14:pctWidth>
            </wp14:sizeRelH>
            <wp14:sizeRelV relativeFrom="page">
              <wp14:pctHeight>0</wp14:pctHeight>
            </wp14:sizeRelV>
          </wp:anchor>
        </w:drawing>
      </w:r>
      <w:r w:rsidR="00204BAC" w:rsidRPr="00045F8F">
        <w:rPr>
          <w:rFonts w:ascii="Arial" w:eastAsia="Arial" w:hAnsi="Arial" w:cs="Arial"/>
          <w:color w:val="000000" w:themeColor="text1"/>
          <w:sz w:val="24"/>
          <w:szCs w:val="24"/>
        </w:rPr>
        <w:t>D</w:t>
      </w:r>
      <w:r w:rsidR="00204BAC">
        <w:rPr>
          <w:rFonts w:ascii="Arial" w:eastAsia="Arial" w:hAnsi="Arial" w:cs="Arial"/>
          <w:color w:val="000000" w:themeColor="text1"/>
          <w:sz w:val="24"/>
          <w:szCs w:val="24"/>
        </w:rPr>
        <w:t>e los Honorables Representantes,</w:t>
      </w:r>
    </w:p>
    <w:p w14:paraId="0D1C543D" w14:textId="42E6D61E" w:rsidR="00204BAC" w:rsidRDefault="00E931FC" w:rsidP="00204BAC">
      <w:pPr>
        <w:jc w:val="center"/>
        <w:rPr>
          <w:rFonts w:ascii="Arial" w:eastAsia="Arial" w:hAnsi="Arial" w:cs="Arial"/>
          <w:b/>
          <w:color w:val="000000" w:themeColor="text1"/>
          <w:sz w:val="24"/>
          <w:szCs w:val="24"/>
        </w:rPr>
      </w:pPr>
      <w:r w:rsidRPr="00E931FC">
        <w:rPr>
          <w:rFonts w:ascii="Arial" w:eastAsia="Arial" w:hAnsi="Arial" w:cs="Arial"/>
          <w:b/>
          <w:noProof/>
          <w:color w:val="000000" w:themeColor="text1"/>
          <w:sz w:val="24"/>
          <w:szCs w:val="24"/>
        </w:rPr>
        <w:drawing>
          <wp:anchor distT="0" distB="0" distL="114300" distR="114300" simplePos="0" relativeHeight="251688960" behindDoc="1" locked="0" layoutInCell="1" allowOverlap="1" wp14:anchorId="446FE555" wp14:editId="1C663BC1">
            <wp:simplePos x="0" y="0"/>
            <wp:positionH relativeFrom="column">
              <wp:posOffset>491490</wp:posOffset>
            </wp:positionH>
            <wp:positionV relativeFrom="paragraph">
              <wp:posOffset>13970</wp:posOffset>
            </wp:positionV>
            <wp:extent cx="561975" cy="1136532"/>
            <wp:effectExtent l="0" t="0" r="0" b="6985"/>
            <wp:wrapNone/>
            <wp:docPr id="9" name="Imagen 9" descr="C:\Users\Paula.arenas\Documents\firma JL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arenas\Documents\firma JLC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1136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8677A" w14:textId="5D41205D" w:rsidR="00204BAC" w:rsidRDefault="00204BAC" w:rsidP="00204BAC">
      <w:pPr>
        <w:jc w:val="center"/>
        <w:rPr>
          <w:rFonts w:ascii="Arial" w:eastAsia="Arial" w:hAnsi="Arial" w:cs="Arial"/>
          <w:b/>
          <w:color w:val="000000" w:themeColor="text1"/>
          <w:sz w:val="24"/>
          <w:szCs w:val="24"/>
        </w:rPr>
      </w:pPr>
    </w:p>
    <w:p w14:paraId="13067975" w14:textId="7E674D3E" w:rsidR="00204BAC" w:rsidRPr="00045F8F" w:rsidRDefault="00204BAC" w:rsidP="00204BAC">
      <w:pPr>
        <w:rPr>
          <w:rFonts w:ascii="Arial" w:eastAsia="Arial" w:hAnsi="Arial" w:cs="Arial"/>
          <w:b/>
          <w:color w:val="000000" w:themeColor="text1"/>
          <w:sz w:val="24"/>
          <w:szCs w:val="24"/>
        </w:rPr>
      </w:pPr>
    </w:p>
    <w:p w14:paraId="7A6E3193" w14:textId="77777777" w:rsidR="00204BAC" w:rsidRPr="00D33317" w:rsidRDefault="00204BAC" w:rsidP="00204BAC">
      <w:pPr>
        <w:pBdr>
          <w:top w:val="nil"/>
          <w:left w:val="nil"/>
          <w:bottom w:val="nil"/>
          <w:right w:val="nil"/>
          <w:between w:val="nil"/>
        </w:pBdr>
        <w:spacing w:after="0" w:line="240" w:lineRule="auto"/>
        <w:rPr>
          <w:rFonts w:ascii="Arial" w:eastAsia="Arial" w:hAnsi="Arial" w:cs="Arial"/>
          <w:b/>
          <w:color w:val="000000" w:themeColor="text1"/>
          <w:sz w:val="24"/>
          <w:szCs w:val="24"/>
        </w:rPr>
      </w:pPr>
      <w:r w:rsidRPr="00D33317">
        <w:rPr>
          <w:rFonts w:ascii="Arial" w:eastAsia="Arial" w:hAnsi="Arial" w:cs="Arial"/>
          <w:b/>
          <w:color w:val="000000" w:themeColor="text1"/>
          <w:sz w:val="24"/>
          <w:szCs w:val="24"/>
        </w:rPr>
        <w:t>JOSE LUIS CORREA LOPEZ</w:t>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r>
      <w:r>
        <w:rPr>
          <w:rFonts w:ascii="Arial" w:eastAsia="Arial" w:hAnsi="Arial" w:cs="Arial"/>
          <w:b/>
          <w:color w:val="000000" w:themeColor="text1"/>
          <w:sz w:val="24"/>
          <w:szCs w:val="24"/>
        </w:rPr>
        <w:tab/>
        <w:t>JORGE ENRIQUE BENEDETTI M.</w:t>
      </w:r>
    </w:p>
    <w:p w14:paraId="7070DDD1" w14:textId="237E70E9" w:rsidR="00204BAC" w:rsidRPr="00D33317" w:rsidRDefault="00204BAC" w:rsidP="00204BAC">
      <w:pPr>
        <w:pBdr>
          <w:top w:val="nil"/>
          <w:left w:val="nil"/>
          <w:bottom w:val="nil"/>
          <w:right w:val="nil"/>
          <w:between w:val="nil"/>
        </w:pBdr>
        <w:spacing w:after="0" w:line="240" w:lineRule="auto"/>
        <w:rPr>
          <w:rFonts w:ascii="Arial" w:eastAsia="Arial" w:hAnsi="Arial" w:cs="Arial"/>
          <w:color w:val="000000" w:themeColor="text1"/>
          <w:sz w:val="24"/>
          <w:szCs w:val="24"/>
        </w:rPr>
      </w:pPr>
      <w:r w:rsidRPr="00D33317">
        <w:rPr>
          <w:rFonts w:ascii="Arial" w:eastAsia="Arial" w:hAnsi="Arial" w:cs="Arial"/>
          <w:color w:val="000000" w:themeColor="text1"/>
          <w:sz w:val="24"/>
          <w:szCs w:val="24"/>
        </w:rPr>
        <w:t>Coordinador Ponente</w:t>
      </w:r>
      <w:r w:rsidRPr="00D33317">
        <w:rPr>
          <w:rFonts w:ascii="Arial" w:eastAsia="Arial" w:hAnsi="Arial" w:cs="Arial"/>
          <w:color w:val="000000" w:themeColor="text1"/>
          <w:sz w:val="24"/>
          <w:szCs w:val="24"/>
        </w:rPr>
        <w:tab/>
      </w:r>
      <w:r w:rsidRPr="00D33317">
        <w:rPr>
          <w:rFonts w:ascii="Arial" w:eastAsia="Arial" w:hAnsi="Arial" w:cs="Arial"/>
          <w:color w:val="000000" w:themeColor="text1"/>
          <w:sz w:val="24"/>
          <w:szCs w:val="24"/>
        </w:rPr>
        <w:tab/>
      </w:r>
      <w:r w:rsidRPr="00D33317">
        <w:rPr>
          <w:rFonts w:ascii="Arial" w:eastAsia="Arial" w:hAnsi="Arial" w:cs="Arial"/>
          <w:color w:val="000000" w:themeColor="text1"/>
          <w:sz w:val="24"/>
          <w:szCs w:val="24"/>
        </w:rPr>
        <w:tab/>
      </w:r>
      <w:r w:rsidRPr="00D33317">
        <w:rPr>
          <w:rFonts w:ascii="Arial" w:eastAsia="Arial" w:hAnsi="Arial" w:cs="Arial"/>
          <w:color w:val="000000" w:themeColor="text1"/>
          <w:sz w:val="24"/>
          <w:szCs w:val="24"/>
        </w:rPr>
        <w:tab/>
        <w:t>Ponente</w:t>
      </w:r>
    </w:p>
    <w:p w14:paraId="0DE189F2" w14:textId="44BE5444" w:rsidR="00204BAC" w:rsidRDefault="008531A9" w:rsidP="00204BAC">
      <w:pPr>
        <w:pBdr>
          <w:top w:val="nil"/>
          <w:left w:val="nil"/>
          <w:bottom w:val="nil"/>
          <w:right w:val="nil"/>
          <w:between w:val="nil"/>
        </w:pBdr>
        <w:spacing w:after="0" w:line="240" w:lineRule="auto"/>
        <w:rPr>
          <w:rFonts w:ascii="Arial" w:eastAsia="Arial" w:hAnsi="Arial" w:cs="Arial"/>
          <w:color w:val="000000" w:themeColor="text1"/>
          <w:sz w:val="24"/>
          <w:szCs w:val="24"/>
        </w:rPr>
      </w:pPr>
      <w:r>
        <w:rPr>
          <w:rFonts w:ascii="Arial" w:eastAsia="Arial" w:hAnsi="Arial" w:cs="Arial"/>
          <w:noProof/>
          <w:color w:val="000000" w:themeColor="text1"/>
          <w:sz w:val="24"/>
          <w:szCs w:val="24"/>
        </w:rPr>
        <w:drawing>
          <wp:anchor distT="0" distB="0" distL="114300" distR="114300" simplePos="0" relativeHeight="251687936" behindDoc="1" locked="0" layoutInCell="1" allowOverlap="1" wp14:anchorId="73E0D839" wp14:editId="79F7C858">
            <wp:simplePos x="0" y="0"/>
            <wp:positionH relativeFrom="margin">
              <wp:posOffset>1400175</wp:posOffset>
            </wp:positionH>
            <wp:positionV relativeFrom="paragraph">
              <wp:posOffset>26035</wp:posOffset>
            </wp:positionV>
            <wp:extent cx="2781300" cy="88392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JAIRO.png"/>
                    <pic:cNvPicPr/>
                  </pic:nvPicPr>
                  <pic:blipFill>
                    <a:blip r:embed="rId19">
                      <a:extLst>
                        <a:ext uri="{28A0092B-C50C-407E-A947-70E740481C1C}">
                          <a14:useLocalDpi xmlns:a14="http://schemas.microsoft.com/office/drawing/2010/main" val="0"/>
                        </a:ext>
                      </a:extLst>
                    </a:blip>
                    <a:stretch>
                      <a:fillRect/>
                    </a:stretch>
                  </pic:blipFill>
                  <pic:spPr>
                    <a:xfrm>
                      <a:off x="0" y="0"/>
                      <a:ext cx="2781300" cy="883920"/>
                    </a:xfrm>
                    <a:prstGeom prst="rect">
                      <a:avLst/>
                    </a:prstGeom>
                  </pic:spPr>
                </pic:pic>
              </a:graphicData>
            </a:graphic>
          </wp:anchor>
        </w:drawing>
      </w:r>
    </w:p>
    <w:p w14:paraId="048F0C6B" w14:textId="793EB4A4" w:rsidR="009867F3" w:rsidRDefault="009867F3" w:rsidP="00204BAC">
      <w:pPr>
        <w:pBdr>
          <w:top w:val="nil"/>
          <w:left w:val="nil"/>
          <w:bottom w:val="nil"/>
          <w:right w:val="nil"/>
          <w:between w:val="nil"/>
        </w:pBdr>
        <w:spacing w:after="0" w:line="240" w:lineRule="auto"/>
        <w:rPr>
          <w:rFonts w:ascii="Arial" w:eastAsia="Arial" w:hAnsi="Arial" w:cs="Arial"/>
          <w:color w:val="000000" w:themeColor="text1"/>
          <w:sz w:val="24"/>
          <w:szCs w:val="24"/>
        </w:rPr>
      </w:pPr>
    </w:p>
    <w:p w14:paraId="2075B739" w14:textId="19DF74B1" w:rsidR="00204BAC" w:rsidRDefault="00204BAC" w:rsidP="00204BAC">
      <w:pPr>
        <w:pBdr>
          <w:top w:val="nil"/>
          <w:left w:val="nil"/>
          <w:bottom w:val="nil"/>
          <w:right w:val="nil"/>
          <w:between w:val="nil"/>
        </w:pBdr>
        <w:spacing w:after="0" w:line="240" w:lineRule="auto"/>
        <w:rPr>
          <w:rFonts w:ascii="Arial" w:eastAsia="Arial" w:hAnsi="Arial" w:cs="Arial"/>
          <w:color w:val="000000" w:themeColor="text1"/>
          <w:sz w:val="24"/>
          <w:szCs w:val="24"/>
        </w:rPr>
      </w:pPr>
    </w:p>
    <w:p w14:paraId="5F02C2EC" w14:textId="77777777" w:rsidR="00204BAC" w:rsidRDefault="00204BAC" w:rsidP="00204BAC">
      <w:pPr>
        <w:pBdr>
          <w:top w:val="nil"/>
          <w:left w:val="nil"/>
          <w:bottom w:val="nil"/>
          <w:right w:val="nil"/>
          <w:between w:val="nil"/>
        </w:pBdr>
        <w:spacing w:after="0" w:line="240" w:lineRule="auto"/>
        <w:jc w:val="center"/>
        <w:rPr>
          <w:rFonts w:ascii="Arial" w:eastAsia="Arial" w:hAnsi="Arial" w:cs="Arial"/>
          <w:b/>
          <w:bCs/>
          <w:color w:val="000000" w:themeColor="text1"/>
          <w:sz w:val="24"/>
          <w:szCs w:val="24"/>
        </w:rPr>
      </w:pPr>
      <w:r>
        <w:rPr>
          <w:rFonts w:ascii="Arial" w:eastAsia="Arial" w:hAnsi="Arial" w:cs="Arial"/>
          <w:b/>
          <w:bCs/>
          <w:color w:val="000000" w:themeColor="text1"/>
          <w:sz w:val="24"/>
          <w:szCs w:val="24"/>
        </w:rPr>
        <w:t>JAIRO REINALDO CALA SUAREZ</w:t>
      </w:r>
    </w:p>
    <w:p w14:paraId="07FCC0F0" w14:textId="77777777" w:rsidR="00204BAC" w:rsidRPr="00B26D55" w:rsidRDefault="00204BAC" w:rsidP="00204BAC">
      <w:pPr>
        <w:pBdr>
          <w:top w:val="nil"/>
          <w:left w:val="nil"/>
          <w:bottom w:val="nil"/>
          <w:right w:val="nil"/>
          <w:between w:val="nil"/>
        </w:pBdr>
        <w:spacing w:after="0" w:line="240" w:lineRule="auto"/>
        <w:jc w:val="center"/>
        <w:rPr>
          <w:rFonts w:ascii="Arial" w:eastAsia="Arial" w:hAnsi="Arial" w:cs="Arial"/>
          <w:color w:val="000000" w:themeColor="text1"/>
          <w:sz w:val="24"/>
          <w:szCs w:val="24"/>
        </w:rPr>
      </w:pPr>
      <w:r>
        <w:rPr>
          <w:rFonts w:ascii="Arial" w:eastAsia="Arial" w:hAnsi="Arial" w:cs="Arial"/>
          <w:color w:val="000000" w:themeColor="text1"/>
          <w:sz w:val="24"/>
          <w:szCs w:val="24"/>
        </w:rPr>
        <w:t>Ponente</w:t>
      </w:r>
    </w:p>
    <w:p w14:paraId="67852D03" w14:textId="394D33B9" w:rsidR="00B26D55" w:rsidRPr="00B26D55" w:rsidRDefault="00B26D55" w:rsidP="00204BAC">
      <w:pPr>
        <w:pBdr>
          <w:top w:val="nil"/>
          <w:left w:val="nil"/>
          <w:bottom w:val="nil"/>
          <w:right w:val="nil"/>
          <w:between w:val="nil"/>
        </w:pBdr>
        <w:spacing w:after="0" w:line="240" w:lineRule="auto"/>
        <w:rPr>
          <w:rFonts w:ascii="Arial" w:eastAsia="Arial" w:hAnsi="Arial" w:cs="Arial"/>
          <w:color w:val="000000" w:themeColor="text1"/>
          <w:sz w:val="24"/>
          <w:szCs w:val="24"/>
        </w:rPr>
      </w:pPr>
    </w:p>
    <w:sectPr w:rsidR="00B26D55" w:rsidRPr="00B26D55">
      <w:headerReference w:type="default" r:id="rId20"/>
      <w:footerReference w:type="default" r:id="rId2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BEE58" w14:textId="77777777" w:rsidR="0073258D" w:rsidRDefault="0073258D">
      <w:pPr>
        <w:spacing w:after="0" w:line="240" w:lineRule="auto"/>
      </w:pPr>
      <w:r>
        <w:separator/>
      </w:r>
    </w:p>
  </w:endnote>
  <w:endnote w:type="continuationSeparator" w:id="0">
    <w:p w14:paraId="4A049424" w14:textId="77777777" w:rsidR="0073258D" w:rsidRDefault="00732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FA2F" w14:textId="77777777" w:rsidR="00211077" w:rsidRDefault="00211077">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1B6BBEDE" wp14:editId="0F8605D8">
          <wp:extent cx="3114675" cy="266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CD5CF" w14:textId="77777777" w:rsidR="0073258D" w:rsidRDefault="0073258D">
      <w:pPr>
        <w:spacing w:after="0" w:line="240" w:lineRule="auto"/>
      </w:pPr>
      <w:r>
        <w:separator/>
      </w:r>
    </w:p>
  </w:footnote>
  <w:footnote w:type="continuationSeparator" w:id="0">
    <w:p w14:paraId="22DEA3EE" w14:textId="77777777" w:rsidR="0073258D" w:rsidRDefault="0073258D">
      <w:pPr>
        <w:spacing w:after="0" w:line="240" w:lineRule="auto"/>
      </w:pPr>
      <w:r>
        <w:continuationSeparator/>
      </w:r>
    </w:p>
  </w:footnote>
  <w:footnote w:id="1">
    <w:p w14:paraId="32760A83" w14:textId="77777777" w:rsidR="00D55151" w:rsidRPr="009224F9" w:rsidRDefault="00D55151" w:rsidP="00D55151">
      <w:pPr>
        <w:pStyle w:val="Textonotapie"/>
        <w:rPr>
          <w:rFonts w:ascii="Arial" w:hAnsi="Arial" w:cs="Arial"/>
          <w:sz w:val="16"/>
          <w:szCs w:val="16"/>
          <w:lang w:val="es-ES"/>
        </w:rPr>
      </w:pPr>
      <w:r w:rsidRPr="009224F9">
        <w:rPr>
          <w:rFonts w:ascii="Arial" w:hAnsi="Arial" w:cs="Arial"/>
          <w:sz w:val="16"/>
          <w:szCs w:val="16"/>
          <w:lang w:val="es-ES"/>
        </w:rPr>
        <w:footnoteRef/>
      </w:r>
      <w:r w:rsidRPr="009224F9">
        <w:rPr>
          <w:rFonts w:ascii="Arial" w:hAnsi="Arial" w:cs="Arial"/>
          <w:sz w:val="16"/>
          <w:szCs w:val="16"/>
          <w:lang w:val="es-ES"/>
        </w:rPr>
        <w:t xml:space="preserve"> Cuenta de Alto Costo (2021). 2020 Magnitud, tendencia y acceso a los servicios.</w:t>
      </w:r>
    </w:p>
  </w:footnote>
  <w:footnote w:id="2">
    <w:p w14:paraId="757E17E2" w14:textId="77777777" w:rsidR="00D55151" w:rsidRPr="009224F9" w:rsidRDefault="00D55151" w:rsidP="00D55151">
      <w:pPr>
        <w:pStyle w:val="Textonotapie"/>
        <w:rPr>
          <w:rFonts w:ascii="Arial" w:hAnsi="Arial" w:cs="Arial"/>
          <w:sz w:val="16"/>
          <w:szCs w:val="16"/>
          <w:lang w:val="es-ES"/>
        </w:rPr>
      </w:pPr>
      <w:r w:rsidRPr="009224F9">
        <w:rPr>
          <w:rFonts w:ascii="Arial" w:hAnsi="Arial" w:cs="Arial"/>
          <w:sz w:val="16"/>
          <w:szCs w:val="16"/>
          <w:lang w:val="es-ES"/>
        </w:rPr>
        <w:footnoteRef/>
      </w:r>
      <w:r w:rsidRPr="009224F9">
        <w:rPr>
          <w:rFonts w:ascii="Arial" w:hAnsi="Arial" w:cs="Arial"/>
          <w:sz w:val="16"/>
          <w:szCs w:val="16"/>
          <w:lang w:val="es-ES"/>
        </w:rPr>
        <w:t xml:space="preserve"> Cuenta de Alto Costo (2021): Día mundial del cáncer 2021. Disponible en: </w:t>
      </w:r>
      <w:hyperlink r:id="rId1" w:history="1">
        <w:r w:rsidRPr="009224F9">
          <w:rPr>
            <w:rFonts w:ascii="Arial" w:hAnsi="Arial" w:cs="Arial"/>
            <w:sz w:val="16"/>
            <w:szCs w:val="16"/>
            <w:lang w:val="es-ES"/>
          </w:rPr>
          <w:t>https://cuentadealtocosto.org/site/cancer/dia-mundial-del-cancer-2021/</w:t>
        </w:r>
      </w:hyperlink>
    </w:p>
  </w:footnote>
  <w:footnote w:id="3">
    <w:p w14:paraId="01672035" w14:textId="77777777" w:rsidR="00D55151" w:rsidRPr="00D93B43" w:rsidRDefault="00D55151" w:rsidP="00D55151">
      <w:pPr>
        <w:pStyle w:val="Textonotapie"/>
        <w:rPr>
          <w:rFonts w:ascii="Arial" w:hAnsi="Arial" w:cs="Arial"/>
          <w:color w:val="FF0000"/>
          <w:sz w:val="16"/>
          <w:szCs w:val="16"/>
          <w:lang w:val="es-ES"/>
        </w:rPr>
      </w:pPr>
      <w:r w:rsidRPr="009224F9">
        <w:rPr>
          <w:rFonts w:ascii="Arial" w:hAnsi="Arial" w:cs="Arial"/>
          <w:sz w:val="16"/>
          <w:szCs w:val="16"/>
          <w:lang w:val="es-ES"/>
        </w:rPr>
        <w:footnoteRef/>
      </w:r>
      <w:r w:rsidRPr="009224F9">
        <w:rPr>
          <w:rFonts w:ascii="Arial" w:hAnsi="Arial" w:cs="Arial"/>
          <w:sz w:val="16"/>
          <w:szCs w:val="16"/>
          <w:lang w:val="es-ES"/>
        </w:rPr>
        <w:t xml:space="preserve"> Cuenta de Alto Costo (2020). 2020 Magnitud, tendencia y acceso a los servicios.</w:t>
      </w:r>
    </w:p>
  </w:footnote>
  <w:footnote w:id="4">
    <w:p w14:paraId="6C4B4254" w14:textId="77777777" w:rsidR="00D55151" w:rsidRPr="009224F9" w:rsidRDefault="00D55151" w:rsidP="00D55151">
      <w:pPr>
        <w:pStyle w:val="Textonotapie"/>
        <w:rPr>
          <w:rFonts w:ascii="Arial" w:hAnsi="Arial" w:cs="Arial"/>
          <w:sz w:val="16"/>
          <w:szCs w:val="16"/>
          <w:vertAlign w:val="superscript"/>
        </w:rPr>
      </w:pPr>
      <w:r w:rsidRPr="009224F9">
        <w:rPr>
          <w:rFonts w:ascii="Arial" w:hAnsi="Arial" w:cs="Arial"/>
          <w:sz w:val="16"/>
          <w:szCs w:val="16"/>
          <w:lang w:val="es-ES"/>
        </w:rPr>
        <w:footnoteRef/>
      </w:r>
      <w:r w:rsidRPr="009224F9">
        <w:rPr>
          <w:rFonts w:ascii="Arial" w:hAnsi="Arial" w:cs="Arial"/>
          <w:sz w:val="16"/>
          <w:szCs w:val="16"/>
          <w:lang w:val="es-ES"/>
        </w:rPr>
        <w:t xml:space="preserve"> Cuenta de Alto Costo (2020): Situación del cáncer en la población adulta atendida en el SGSSS de Colombia 2019.</w:t>
      </w:r>
    </w:p>
  </w:footnote>
  <w:footnote w:id="5">
    <w:p w14:paraId="1E3C8FBF" w14:textId="77777777" w:rsidR="00D55151" w:rsidRPr="00D93B43" w:rsidRDefault="00D55151" w:rsidP="00D55151">
      <w:pPr>
        <w:pStyle w:val="Textonotapie"/>
        <w:rPr>
          <w:rFonts w:ascii="Arial" w:hAnsi="Arial" w:cs="Arial"/>
          <w:color w:val="FF0000"/>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w:t>
      </w:r>
      <w:r w:rsidRPr="009224F9">
        <w:rPr>
          <w:rFonts w:ascii="Arial" w:hAnsi="Arial" w:cs="Arial"/>
          <w:sz w:val="16"/>
          <w:szCs w:val="16"/>
          <w:lang w:val="es-ES"/>
        </w:rPr>
        <w:t>Cuenta de Alto Costo (2020): Situación del cáncer en la población adulta atendida en el SGSSS de Colombia 2019.</w:t>
      </w:r>
    </w:p>
  </w:footnote>
  <w:footnote w:id="6">
    <w:p w14:paraId="146361BD" w14:textId="77777777" w:rsidR="00D55151" w:rsidRPr="009224F9" w:rsidRDefault="00D55151" w:rsidP="00D55151">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w:t>
      </w:r>
      <w:r w:rsidRPr="009224F9">
        <w:rPr>
          <w:rFonts w:ascii="Arial" w:hAnsi="Arial" w:cs="Arial"/>
          <w:sz w:val="16"/>
          <w:szCs w:val="16"/>
          <w:lang w:val="es-ES"/>
        </w:rPr>
        <w:t xml:space="preserve">Ibid. </w:t>
      </w:r>
    </w:p>
  </w:footnote>
  <w:footnote w:id="7">
    <w:p w14:paraId="0EB2B096" w14:textId="77777777" w:rsidR="00C65E64" w:rsidRPr="009224F9" w:rsidRDefault="00C65E64" w:rsidP="00C65E64">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w:t>
      </w:r>
      <w:r w:rsidRPr="009224F9">
        <w:rPr>
          <w:rFonts w:ascii="Arial" w:hAnsi="Arial" w:cs="Arial"/>
          <w:sz w:val="16"/>
          <w:szCs w:val="16"/>
          <w:lang w:val="es-ES"/>
        </w:rPr>
        <w:t>Cuenta de Alto Costo (2020): Situación del cáncer en la población adulta atendida en el SGSSS de Colombia 2019.</w:t>
      </w:r>
    </w:p>
  </w:footnote>
  <w:footnote w:id="8">
    <w:p w14:paraId="782D10DA" w14:textId="77777777" w:rsidR="00C65E64" w:rsidRPr="009224F9" w:rsidRDefault="00C65E64" w:rsidP="00C65E64">
      <w:pPr>
        <w:pStyle w:val="Textonotapie"/>
        <w:rPr>
          <w:rFonts w:ascii="Arial" w:hAnsi="Arial" w:cs="Arial"/>
          <w:sz w:val="16"/>
          <w:szCs w:val="16"/>
          <w:lang w:val="es-ES"/>
        </w:rPr>
      </w:pPr>
      <w:r w:rsidRPr="009224F9">
        <w:rPr>
          <w:rStyle w:val="Refdenotaalpie"/>
          <w:rFonts w:ascii="Arial" w:hAnsi="Arial" w:cs="Arial"/>
          <w:sz w:val="16"/>
          <w:szCs w:val="16"/>
        </w:rPr>
        <w:footnoteRef/>
      </w:r>
      <w:r w:rsidRPr="009224F9">
        <w:rPr>
          <w:rFonts w:ascii="Arial" w:hAnsi="Arial" w:cs="Arial"/>
          <w:sz w:val="16"/>
          <w:szCs w:val="16"/>
          <w:lang w:val="es-ES"/>
        </w:rPr>
        <w:t xml:space="preserve"> Ministerio de Salud, (2021) Incidencia del cáncer se redujo en los últimos 3 años. Disponible en: </w:t>
      </w:r>
      <w:hyperlink r:id="rId2" w:history="1">
        <w:r w:rsidRPr="009224F9">
          <w:rPr>
            <w:rStyle w:val="Hipervnculo"/>
            <w:rFonts w:ascii="Arial" w:hAnsi="Arial" w:cs="Arial"/>
            <w:sz w:val="16"/>
            <w:szCs w:val="16"/>
            <w:lang w:val="es-ES"/>
          </w:rPr>
          <w:t>https://www.minsalud.gov.co/Paginas/Incidencia-del-cancer-se-redujo-en-los-ultimos-3-anos.aspx</w:t>
        </w:r>
      </w:hyperlink>
    </w:p>
    <w:p w14:paraId="73EC7B65" w14:textId="77777777" w:rsidR="00C65E64" w:rsidRPr="00D93B43" w:rsidRDefault="00C65E64" w:rsidP="00C65E64">
      <w:pPr>
        <w:pStyle w:val="Textonotapie"/>
        <w:rPr>
          <w:rFonts w:ascii="Arial" w:hAnsi="Arial" w:cs="Arial"/>
          <w:sz w:val="16"/>
          <w:szCs w:val="16"/>
          <w:lang w:val="es-ES"/>
        </w:rPr>
      </w:pPr>
    </w:p>
  </w:footnote>
  <w:footnote w:id="9">
    <w:p w14:paraId="5246C9CD" w14:textId="77777777" w:rsidR="00C65E64" w:rsidRPr="009224F9" w:rsidRDefault="00C65E64" w:rsidP="00C65E64">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Observatorio Nacional de Cáncer (2021). Día mundial del cáncer. Disponible en : </w:t>
      </w:r>
      <w:hyperlink r:id="rId3" w:history="1">
        <w:r w:rsidRPr="009224F9">
          <w:rPr>
            <w:rStyle w:val="Hipervnculo"/>
            <w:rFonts w:ascii="Arial" w:hAnsi="Arial" w:cs="Arial"/>
            <w:sz w:val="16"/>
            <w:szCs w:val="16"/>
          </w:rPr>
          <w:t>https://www.sispro.gov.co/observatorios/oncancer/Paginas/onc_boletin_02_cancer.aspx</w:t>
        </w:r>
      </w:hyperlink>
      <w:r w:rsidRPr="009224F9">
        <w:rPr>
          <w:rFonts w:ascii="Arial" w:hAnsi="Arial" w:cs="Arial"/>
          <w:sz w:val="16"/>
          <w:szCs w:val="16"/>
        </w:rPr>
        <w:t xml:space="preserve"> </w:t>
      </w:r>
    </w:p>
  </w:footnote>
  <w:footnote w:id="10">
    <w:p w14:paraId="00B89DE9" w14:textId="77777777" w:rsidR="00C65E64" w:rsidRPr="00D93B43" w:rsidRDefault="00C65E64" w:rsidP="00C65E64">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ABELLO POLO, Virginia. (2021). La reapertura es indispensable: el impacto del covid-19 en el diagnóstico y atención del cáncer. Consulor Salud. Disponible en: </w:t>
      </w:r>
      <w:hyperlink r:id="rId4" w:history="1">
        <w:r w:rsidRPr="009224F9">
          <w:rPr>
            <w:rStyle w:val="Hipervnculo"/>
            <w:rFonts w:ascii="Arial" w:hAnsi="Arial" w:cs="Arial"/>
            <w:sz w:val="16"/>
            <w:szCs w:val="16"/>
          </w:rPr>
          <w:t>https://consultorsalud.com/covid-19-y-el-diagnostico-del-cancer/</w:t>
        </w:r>
      </w:hyperlink>
      <w:r w:rsidRPr="009224F9">
        <w:rPr>
          <w:rFonts w:ascii="Arial" w:hAnsi="Arial" w:cs="Arial"/>
          <w:sz w:val="16"/>
          <w:szCs w:val="16"/>
        </w:rPr>
        <w:t xml:space="preserve"> </w:t>
      </w:r>
    </w:p>
  </w:footnote>
  <w:footnote w:id="11">
    <w:p w14:paraId="458E9E5B" w14:textId="77777777" w:rsidR="00C65E64" w:rsidRPr="009224F9" w:rsidRDefault="00C65E64" w:rsidP="00C65E64">
      <w:pPr>
        <w:pStyle w:val="Textonotapie"/>
        <w:rPr>
          <w:rFonts w:ascii="Arial" w:hAnsi="Arial" w:cs="Arial"/>
          <w:sz w:val="16"/>
          <w:szCs w:val="16"/>
          <w:lang w:val="fr-FR"/>
        </w:rPr>
      </w:pPr>
      <w:r w:rsidRPr="009224F9">
        <w:rPr>
          <w:rStyle w:val="Refdenotaalpie"/>
          <w:rFonts w:ascii="Arial" w:hAnsi="Arial" w:cs="Arial"/>
          <w:sz w:val="16"/>
          <w:szCs w:val="16"/>
        </w:rPr>
        <w:footnoteRef/>
      </w:r>
      <w:r w:rsidRPr="009224F9">
        <w:rPr>
          <w:rFonts w:ascii="Arial" w:hAnsi="Arial" w:cs="Arial"/>
          <w:sz w:val="16"/>
          <w:szCs w:val="16"/>
          <w:lang w:val="fr-FR"/>
        </w:rPr>
        <w:t xml:space="preserve"> Fundación Colombiana de Leucamia y Linfoma. Solo el 23.3% de los pacientes con cáncer ha recibido sus medicamentos a domicilo durante la cuarentena. Disponible en: https://www.funleucemialinfoma.org/wp-content/uploads/2020/07/Tercer-boletin-de-prensa-Encuesta-pacientes-c%C3%A1ncer.pdf. </w:t>
      </w:r>
    </w:p>
  </w:footnote>
  <w:footnote w:id="12">
    <w:p w14:paraId="0B5DD112" w14:textId="77777777" w:rsidR="00C65E64" w:rsidRPr="009224F9" w:rsidRDefault="00C65E64" w:rsidP="00C65E64">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w:t>
      </w:r>
      <w:r w:rsidRPr="009224F9">
        <w:rPr>
          <w:rFonts w:ascii="Arial" w:hAnsi="Arial" w:cs="Arial"/>
          <w:sz w:val="16"/>
          <w:szCs w:val="16"/>
          <w:lang w:val="es-ES"/>
        </w:rPr>
        <w:t>Cuenta de Alto Costo (2021). 2020 Magnitud, tendencia y acceso a los servicios.</w:t>
      </w:r>
    </w:p>
  </w:footnote>
  <w:footnote w:id="13">
    <w:p w14:paraId="292A4D79" w14:textId="77777777" w:rsidR="00C65E64" w:rsidRPr="009224F9" w:rsidRDefault="00C65E64" w:rsidP="00C65E64">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w:t>
      </w:r>
      <w:r w:rsidRPr="009224F9">
        <w:rPr>
          <w:rFonts w:ascii="Arial" w:hAnsi="Arial" w:cs="Arial"/>
          <w:sz w:val="16"/>
          <w:szCs w:val="16"/>
          <w:lang w:val="es-ES"/>
        </w:rPr>
        <w:t>Cuenta de Alto Costo (2021). 2020 Magnitud, tendencia y acceso a los servicios.</w:t>
      </w:r>
    </w:p>
  </w:footnote>
  <w:footnote w:id="14">
    <w:p w14:paraId="56EADBB2" w14:textId="77777777" w:rsidR="00C65E64" w:rsidRPr="009224F9" w:rsidRDefault="00C65E64" w:rsidP="00C65E64">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Observatorio Nacional de Cáncer (2021). Día mundial del cáncer. Disponible en : </w:t>
      </w:r>
      <w:hyperlink r:id="rId5" w:history="1">
        <w:r w:rsidRPr="009224F9">
          <w:rPr>
            <w:rStyle w:val="Hipervnculo"/>
            <w:rFonts w:ascii="Arial" w:hAnsi="Arial" w:cs="Arial"/>
            <w:sz w:val="16"/>
            <w:szCs w:val="16"/>
          </w:rPr>
          <w:t>https://www.sispro.gov.co/observatorios/oncancer/Paginas/onc_boletin_02_cancer.aspx</w:t>
        </w:r>
      </w:hyperlink>
    </w:p>
  </w:footnote>
  <w:footnote w:id="15">
    <w:p w14:paraId="2BB1555D" w14:textId="77777777" w:rsidR="00EA55B2" w:rsidRPr="00D93B43" w:rsidRDefault="00EA55B2" w:rsidP="00EA55B2">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Pacientes Colombia. (2021). Boletín mensual Observatorio De Presupuestos Máximos. Boletín # 7. Disponible en: </w:t>
      </w:r>
      <w:hyperlink r:id="rId6" w:history="1">
        <w:r w:rsidRPr="009224F9">
          <w:rPr>
            <w:rStyle w:val="Hipervnculo"/>
            <w:rFonts w:ascii="Arial" w:hAnsi="Arial" w:cs="Arial"/>
            <w:sz w:val="16"/>
            <w:szCs w:val="16"/>
          </w:rPr>
          <w:t>https://www.pacientescolombia.org/boletines</w:t>
        </w:r>
      </w:hyperlink>
      <w:r w:rsidRPr="009224F9">
        <w:rPr>
          <w:rFonts w:ascii="Arial" w:hAnsi="Arial" w:cs="Arial"/>
          <w:sz w:val="16"/>
          <w:szCs w:val="16"/>
        </w:rPr>
        <w:t xml:space="preserve"> </w:t>
      </w:r>
    </w:p>
  </w:footnote>
  <w:footnote w:id="16">
    <w:p w14:paraId="4D249545" w14:textId="77777777" w:rsidR="00EA55B2" w:rsidRPr="00D93B43" w:rsidRDefault="00EA55B2" w:rsidP="00EA55B2">
      <w:pPr>
        <w:pStyle w:val="Textonotapie"/>
        <w:rPr>
          <w:rFonts w:ascii="Arial" w:hAnsi="Arial" w:cs="Arial"/>
          <w:sz w:val="16"/>
          <w:szCs w:val="16"/>
        </w:rPr>
      </w:pPr>
      <w:r w:rsidRPr="00D93B43">
        <w:rPr>
          <w:rStyle w:val="Refdenotaalpie"/>
          <w:rFonts w:ascii="Arial" w:hAnsi="Arial" w:cs="Arial"/>
          <w:sz w:val="16"/>
          <w:szCs w:val="16"/>
        </w:rPr>
        <w:footnoteRef/>
      </w:r>
      <w:r w:rsidRPr="00D93B43">
        <w:rPr>
          <w:rFonts w:ascii="Arial" w:hAnsi="Arial" w:cs="Arial"/>
          <w:sz w:val="16"/>
          <w:szCs w:val="16"/>
        </w:rPr>
        <w:t xml:space="preserve"> Datos presentados en el Evento: Hallazgo Del Observatorio De Presupuestos Máximos Frente A La Prestación De Servicios No Pbs</w:t>
      </w:r>
    </w:p>
  </w:footnote>
  <w:footnote w:id="17">
    <w:p w14:paraId="0F7F52A8" w14:textId="77777777" w:rsidR="00EA55B2" w:rsidRPr="00D93B43" w:rsidRDefault="00EA55B2" w:rsidP="00EA55B2">
      <w:pPr>
        <w:pStyle w:val="Textonotapie"/>
        <w:rPr>
          <w:rFonts w:ascii="Arial" w:hAnsi="Arial" w:cs="Arial"/>
          <w:sz w:val="16"/>
          <w:szCs w:val="16"/>
        </w:rPr>
      </w:pPr>
      <w:r w:rsidRPr="009224F9">
        <w:rPr>
          <w:rStyle w:val="Refdenotaalpie"/>
          <w:rFonts w:ascii="Arial" w:hAnsi="Arial" w:cs="Arial"/>
          <w:sz w:val="16"/>
          <w:szCs w:val="16"/>
        </w:rPr>
        <w:footnoteRef/>
      </w:r>
      <w:r w:rsidRPr="009224F9">
        <w:rPr>
          <w:rFonts w:ascii="Arial" w:hAnsi="Arial" w:cs="Arial"/>
          <w:sz w:val="16"/>
          <w:szCs w:val="16"/>
        </w:rPr>
        <w:t xml:space="preserve"> </w:t>
      </w:r>
      <w:r w:rsidRPr="009224F9">
        <w:rPr>
          <w:rFonts w:ascii="Arial" w:hAnsi="Arial" w:cs="Arial"/>
          <w:sz w:val="16"/>
          <w:szCs w:val="16"/>
          <w:lang w:val="es-ES"/>
        </w:rPr>
        <w:t>Cuenta de Alto Costo (2021). 2020 Magnitud, tendencia y acceso a los servicios.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FFDC1" w14:textId="77777777" w:rsidR="00211077" w:rsidRDefault="00211077">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19926DBE" wp14:editId="2188E2A6">
          <wp:extent cx="3095625" cy="914400"/>
          <wp:effectExtent l="0" t="0" r="0" b="0"/>
          <wp:docPr id="5" name="image5.png" descr="Resultado de imagen para camara de representantes"/>
          <wp:cNvGraphicFramePr/>
          <a:graphic xmlns:a="http://schemas.openxmlformats.org/drawingml/2006/main">
            <a:graphicData uri="http://schemas.openxmlformats.org/drawingml/2006/picture">
              <pic:pic xmlns:pic="http://schemas.openxmlformats.org/drawingml/2006/picture">
                <pic:nvPicPr>
                  <pic:cNvPr id="0" name="image5.png" descr="Resultado de imagen para camara de representantes"/>
                  <pic:cNvPicPr preferRelativeResize="0"/>
                </pic:nvPicPr>
                <pic:blipFill>
                  <a:blip r:embed="rId1"/>
                  <a:srcRect/>
                  <a:stretch>
                    <a:fillRect/>
                  </a:stretch>
                </pic:blipFill>
                <pic:spPr>
                  <a:xfrm>
                    <a:off x="0" y="0"/>
                    <a:ext cx="3095625" cy="914400"/>
                  </a:xfrm>
                  <a:prstGeom prst="rect">
                    <a:avLst/>
                  </a:prstGeom>
                  <a:ln/>
                </pic:spPr>
              </pic:pic>
            </a:graphicData>
          </a:graphic>
        </wp:inline>
      </w:drawing>
    </w:r>
  </w:p>
  <w:p w14:paraId="61FDCFA9" w14:textId="77777777" w:rsidR="00211077" w:rsidRDefault="0021107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1E4C"/>
    <w:multiLevelType w:val="multilevel"/>
    <w:tmpl w:val="0A00F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72486"/>
    <w:multiLevelType w:val="multilevel"/>
    <w:tmpl w:val="D54668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4C7B57"/>
    <w:multiLevelType w:val="multilevel"/>
    <w:tmpl w:val="3BAEF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D377C0"/>
    <w:multiLevelType w:val="hybridMultilevel"/>
    <w:tmpl w:val="E7A8AC86"/>
    <w:lvl w:ilvl="0" w:tplc="4BA8D8F0">
      <w:start w:val="7"/>
      <w:numFmt w:val="bullet"/>
      <w:lvlText w:val="-"/>
      <w:lvlJc w:val="left"/>
      <w:pPr>
        <w:ind w:left="720" w:hanging="360"/>
      </w:pPr>
      <w:rPr>
        <w:rFonts w:ascii="Cambria" w:eastAsiaTheme="minorHAnsi" w:hAnsi="Cambri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3792C9C"/>
    <w:multiLevelType w:val="multilevel"/>
    <w:tmpl w:val="3CB07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6A4592"/>
    <w:multiLevelType w:val="multilevel"/>
    <w:tmpl w:val="4C189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485031"/>
    <w:multiLevelType w:val="multilevel"/>
    <w:tmpl w:val="6C4A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567DAF"/>
    <w:multiLevelType w:val="multilevel"/>
    <w:tmpl w:val="0BB0B21A"/>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BE5CA4"/>
    <w:multiLevelType w:val="hybridMultilevel"/>
    <w:tmpl w:val="8F6EEA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B1924CD"/>
    <w:multiLevelType w:val="multilevel"/>
    <w:tmpl w:val="0194F68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2AD4EFE"/>
    <w:multiLevelType w:val="multilevel"/>
    <w:tmpl w:val="34923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F035E3"/>
    <w:multiLevelType w:val="hybridMultilevel"/>
    <w:tmpl w:val="FF223F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341F3CC0"/>
    <w:multiLevelType w:val="multilevel"/>
    <w:tmpl w:val="57D4D4EE"/>
    <w:lvl w:ilvl="0">
      <w:start w:val="1"/>
      <w:numFmt w:val="decimal"/>
      <w:lvlText w:val="%1."/>
      <w:lvlJc w:val="left"/>
      <w:pPr>
        <w:ind w:left="862" w:hanging="360"/>
        <w:jc w:val="left"/>
      </w:pPr>
      <w:rPr>
        <w:rFonts w:ascii="Arial" w:eastAsia="Arial" w:hAnsi="Arial" w:cs="Arial" w:hint="default"/>
        <w:b/>
        <w:bCs/>
        <w:spacing w:val="-3"/>
        <w:w w:val="99"/>
        <w:sz w:val="24"/>
        <w:szCs w:val="24"/>
        <w:lang w:val="es-ES" w:eastAsia="es-ES" w:bidi="es-ES"/>
      </w:rPr>
    </w:lvl>
    <w:lvl w:ilvl="1">
      <w:start w:val="1"/>
      <w:numFmt w:val="decimal"/>
      <w:lvlText w:val="%1.%2."/>
      <w:lvlJc w:val="left"/>
      <w:pPr>
        <w:ind w:left="1222" w:hanging="720"/>
        <w:jc w:val="left"/>
      </w:pPr>
      <w:rPr>
        <w:rFonts w:ascii="Arial" w:eastAsia="Arial" w:hAnsi="Arial" w:cs="Arial" w:hint="default"/>
        <w:b/>
        <w:bCs/>
        <w:w w:val="99"/>
        <w:sz w:val="24"/>
        <w:szCs w:val="24"/>
        <w:lang w:val="es-ES" w:eastAsia="es-ES" w:bidi="es-ES"/>
      </w:rPr>
    </w:lvl>
    <w:lvl w:ilvl="2">
      <w:start w:val="1"/>
      <w:numFmt w:val="decimal"/>
      <w:lvlText w:val="%1.%2.%3."/>
      <w:lvlJc w:val="left"/>
      <w:pPr>
        <w:ind w:left="1222" w:hanging="720"/>
        <w:jc w:val="left"/>
      </w:pPr>
      <w:rPr>
        <w:rFonts w:ascii="Arial" w:eastAsia="Arial" w:hAnsi="Arial" w:cs="Arial" w:hint="default"/>
        <w:b/>
        <w:bCs/>
        <w:spacing w:val="-2"/>
        <w:w w:val="99"/>
        <w:sz w:val="24"/>
        <w:szCs w:val="24"/>
        <w:lang w:val="es-ES" w:eastAsia="es-ES" w:bidi="es-ES"/>
      </w:rPr>
    </w:lvl>
    <w:lvl w:ilvl="3">
      <w:numFmt w:val="bullet"/>
      <w:lvlText w:val="•"/>
      <w:lvlJc w:val="left"/>
      <w:pPr>
        <w:ind w:left="3046" w:hanging="720"/>
      </w:pPr>
      <w:rPr>
        <w:rFonts w:hint="default"/>
        <w:lang w:val="es-ES" w:eastAsia="es-ES" w:bidi="es-ES"/>
      </w:rPr>
    </w:lvl>
    <w:lvl w:ilvl="4">
      <w:numFmt w:val="bullet"/>
      <w:lvlText w:val="•"/>
      <w:lvlJc w:val="left"/>
      <w:pPr>
        <w:ind w:left="3960" w:hanging="720"/>
      </w:pPr>
      <w:rPr>
        <w:rFonts w:hint="default"/>
        <w:lang w:val="es-ES" w:eastAsia="es-ES" w:bidi="es-ES"/>
      </w:rPr>
    </w:lvl>
    <w:lvl w:ilvl="5">
      <w:numFmt w:val="bullet"/>
      <w:lvlText w:val="•"/>
      <w:lvlJc w:val="left"/>
      <w:pPr>
        <w:ind w:left="4873" w:hanging="720"/>
      </w:pPr>
      <w:rPr>
        <w:rFonts w:hint="default"/>
        <w:lang w:val="es-ES" w:eastAsia="es-ES" w:bidi="es-ES"/>
      </w:rPr>
    </w:lvl>
    <w:lvl w:ilvl="6">
      <w:numFmt w:val="bullet"/>
      <w:lvlText w:val="•"/>
      <w:lvlJc w:val="left"/>
      <w:pPr>
        <w:ind w:left="5786" w:hanging="720"/>
      </w:pPr>
      <w:rPr>
        <w:rFonts w:hint="default"/>
        <w:lang w:val="es-ES" w:eastAsia="es-ES" w:bidi="es-ES"/>
      </w:rPr>
    </w:lvl>
    <w:lvl w:ilvl="7">
      <w:numFmt w:val="bullet"/>
      <w:lvlText w:val="•"/>
      <w:lvlJc w:val="left"/>
      <w:pPr>
        <w:ind w:left="6700" w:hanging="720"/>
      </w:pPr>
      <w:rPr>
        <w:rFonts w:hint="default"/>
        <w:lang w:val="es-ES" w:eastAsia="es-ES" w:bidi="es-ES"/>
      </w:rPr>
    </w:lvl>
    <w:lvl w:ilvl="8">
      <w:numFmt w:val="bullet"/>
      <w:lvlText w:val="•"/>
      <w:lvlJc w:val="left"/>
      <w:pPr>
        <w:ind w:left="7613" w:hanging="720"/>
      </w:pPr>
      <w:rPr>
        <w:rFonts w:hint="default"/>
        <w:lang w:val="es-ES" w:eastAsia="es-ES" w:bidi="es-ES"/>
      </w:rPr>
    </w:lvl>
  </w:abstractNum>
  <w:abstractNum w:abstractNumId="13" w15:restartNumberingAfterBreak="0">
    <w:nsid w:val="34BD6975"/>
    <w:multiLevelType w:val="hybridMultilevel"/>
    <w:tmpl w:val="D256EEF4"/>
    <w:lvl w:ilvl="0" w:tplc="C3F04088">
      <w:start w:val="1"/>
      <w:numFmt w:val="bullet"/>
      <w:lvlText w:val=""/>
      <w:lvlJc w:val="left"/>
      <w:pPr>
        <w:ind w:left="720" w:hanging="360"/>
      </w:pPr>
      <w:rPr>
        <w:rFonts w:ascii="Symbol" w:hAnsi="Symbol" w:hint="default"/>
      </w:rPr>
    </w:lvl>
    <w:lvl w:ilvl="1" w:tplc="ED44F0D6">
      <w:start w:val="1"/>
      <w:numFmt w:val="bullet"/>
      <w:lvlText w:val="o"/>
      <w:lvlJc w:val="left"/>
      <w:pPr>
        <w:ind w:left="1440" w:hanging="360"/>
      </w:pPr>
      <w:rPr>
        <w:rFonts w:ascii="Courier New" w:hAnsi="Courier New" w:hint="default"/>
      </w:rPr>
    </w:lvl>
    <w:lvl w:ilvl="2" w:tplc="DB6E87D6">
      <w:start w:val="1"/>
      <w:numFmt w:val="bullet"/>
      <w:lvlText w:val=""/>
      <w:lvlJc w:val="left"/>
      <w:pPr>
        <w:ind w:left="2160" w:hanging="360"/>
      </w:pPr>
      <w:rPr>
        <w:rFonts w:ascii="Wingdings" w:hAnsi="Wingdings" w:hint="default"/>
      </w:rPr>
    </w:lvl>
    <w:lvl w:ilvl="3" w:tplc="C694C27C">
      <w:start w:val="1"/>
      <w:numFmt w:val="bullet"/>
      <w:lvlText w:val=""/>
      <w:lvlJc w:val="left"/>
      <w:pPr>
        <w:ind w:left="2880" w:hanging="360"/>
      </w:pPr>
      <w:rPr>
        <w:rFonts w:ascii="Symbol" w:hAnsi="Symbol" w:hint="default"/>
      </w:rPr>
    </w:lvl>
    <w:lvl w:ilvl="4" w:tplc="8CDC6268">
      <w:start w:val="1"/>
      <w:numFmt w:val="bullet"/>
      <w:lvlText w:val="o"/>
      <w:lvlJc w:val="left"/>
      <w:pPr>
        <w:ind w:left="3600" w:hanging="360"/>
      </w:pPr>
      <w:rPr>
        <w:rFonts w:ascii="Courier New" w:hAnsi="Courier New" w:hint="default"/>
      </w:rPr>
    </w:lvl>
    <w:lvl w:ilvl="5" w:tplc="C2FA96D0">
      <w:start w:val="1"/>
      <w:numFmt w:val="bullet"/>
      <w:lvlText w:val=""/>
      <w:lvlJc w:val="left"/>
      <w:pPr>
        <w:ind w:left="4320" w:hanging="360"/>
      </w:pPr>
      <w:rPr>
        <w:rFonts w:ascii="Wingdings" w:hAnsi="Wingdings" w:hint="default"/>
      </w:rPr>
    </w:lvl>
    <w:lvl w:ilvl="6" w:tplc="49F6B684">
      <w:start w:val="1"/>
      <w:numFmt w:val="bullet"/>
      <w:lvlText w:val=""/>
      <w:lvlJc w:val="left"/>
      <w:pPr>
        <w:ind w:left="5040" w:hanging="360"/>
      </w:pPr>
      <w:rPr>
        <w:rFonts w:ascii="Symbol" w:hAnsi="Symbol" w:hint="default"/>
      </w:rPr>
    </w:lvl>
    <w:lvl w:ilvl="7" w:tplc="6C3003FC">
      <w:start w:val="1"/>
      <w:numFmt w:val="bullet"/>
      <w:lvlText w:val="o"/>
      <w:lvlJc w:val="left"/>
      <w:pPr>
        <w:ind w:left="5760" w:hanging="360"/>
      </w:pPr>
      <w:rPr>
        <w:rFonts w:ascii="Courier New" w:hAnsi="Courier New" w:hint="default"/>
      </w:rPr>
    </w:lvl>
    <w:lvl w:ilvl="8" w:tplc="433A5FC2">
      <w:start w:val="1"/>
      <w:numFmt w:val="bullet"/>
      <w:lvlText w:val=""/>
      <w:lvlJc w:val="left"/>
      <w:pPr>
        <w:ind w:left="6480" w:hanging="360"/>
      </w:pPr>
      <w:rPr>
        <w:rFonts w:ascii="Wingdings" w:hAnsi="Wingdings" w:hint="default"/>
      </w:rPr>
    </w:lvl>
  </w:abstractNum>
  <w:abstractNum w:abstractNumId="14" w15:restartNumberingAfterBreak="0">
    <w:nsid w:val="39193809"/>
    <w:multiLevelType w:val="hybridMultilevel"/>
    <w:tmpl w:val="E68046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3E0E47"/>
    <w:multiLevelType w:val="multilevel"/>
    <w:tmpl w:val="EFC62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5B4223"/>
    <w:multiLevelType w:val="multilevel"/>
    <w:tmpl w:val="E50CBB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42BC774C"/>
    <w:multiLevelType w:val="multilevel"/>
    <w:tmpl w:val="F8266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9029F1"/>
    <w:multiLevelType w:val="multilevel"/>
    <w:tmpl w:val="626A07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771727"/>
    <w:multiLevelType w:val="multilevel"/>
    <w:tmpl w:val="EDE07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2B5B0C"/>
    <w:multiLevelType w:val="multilevel"/>
    <w:tmpl w:val="6B480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DB5A64"/>
    <w:multiLevelType w:val="hybridMultilevel"/>
    <w:tmpl w:val="0D62CA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515D2AF4"/>
    <w:multiLevelType w:val="hybridMultilevel"/>
    <w:tmpl w:val="55180A44"/>
    <w:lvl w:ilvl="0" w:tplc="19680884">
      <w:start w:val="1"/>
      <w:numFmt w:val="lowerLetter"/>
      <w:lvlText w:val="%1)"/>
      <w:lvlJc w:val="left"/>
      <w:pPr>
        <w:ind w:left="720" w:hanging="360"/>
      </w:pPr>
      <w:rPr>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7150D4A"/>
    <w:multiLevelType w:val="multilevel"/>
    <w:tmpl w:val="211A2E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9211FC"/>
    <w:multiLevelType w:val="multilevel"/>
    <w:tmpl w:val="555AD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19C76B0"/>
    <w:multiLevelType w:val="multilevel"/>
    <w:tmpl w:val="FEA252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C723A0"/>
    <w:multiLevelType w:val="hybridMultilevel"/>
    <w:tmpl w:val="B26451A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64876B40"/>
    <w:multiLevelType w:val="multilevel"/>
    <w:tmpl w:val="7C2C2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6103E6E"/>
    <w:multiLevelType w:val="multilevel"/>
    <w:tmpl w:val="A7E2F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99368E"/>
    <w:multiLevelType w:val="multilevel"/>
    <w:tmpl w:val="427A99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6DE66F2B"/>
    <w:multiLevelType w:val="hybridMultilevel"/>
    <w:tmpl w:val="06040D8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6F6718D1"/>
    <w:multiLevelType w:val="hybridMultilevel"/>
    <w:tmpl w:val="3E1623AE"/>
    <w:lvl w:ilvl="0" w:tplc="F4E488C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26F4E75"/>
    <w:multiLevelType w:val="hybridMultilevel"/>
    <w:tmpl w:val="3F9E0E2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787906EC"/>
    <w:multiLevelType w:val="hybridMultilevel"/>
    <w:tmpl w:val="801AD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AC63F0F"/>
    <w:multiLevelType w:val="hybridMultilevel"/>
    <w:tmpl w:val="34CA99C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EE276BA"/>
    <w:multiLevelType w:val="multilevel"/>
    <w:tmpl w:val="0CE621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7"/>
  </w:num>
  <w:num w:numId="3">
    <w:abstractNumId w:val="6"/>
  </w:num>
  <w:num w:numId="4">
    <w:abstractNumId w:val="20"/>
  </w:num>
  <w:num w:numId="5">
    <w:abstractNumId w:val="27"/>
  </w:num>
  <w:num w:numId="6">
    <w:abstractNumId w:val="23"/>
  </w:num>
  <w:num w:numId="7">
    <w:abstractNumId w:val="28"/>
  </w:num>
  <w:num w:numId="8">
    <w:abstractNumId w:val="33"/>
  </w:num>
  <w:num w:numId="9">
    <w:abstractNumId w:val="4"/>
  </w:num>
  <w:num w:numId="10">
    <w:abstractNumId w:val="15"/>
  </w:num>
  <w:num w:numId="11">
    <w:abstractNumId w:val="5"/>
  </w:num>
  <w:num w:numId="12">
    <w:abstractNumId w:val="24"/>
  </w:num>
  <w:num w:numId="13">
    <w:abstractNumId w:val="13"/>
  </w:num>
  <w:num w:numId="14">
    <w:abstractNumId w:val="8"/>
  </w:num>
  <w:num w:numId="15">
    <w:abstractNumId w:val="34"/>
  </w:num>
  <w:num w:numId="16">
    <w:abstractNumId w:val="25"/>
  </w:num>
  <w:num w:numId="17">
    <w:abstractNumId w:val="0"/>
  </w:num>
  <w:num w:numId="18">
    <w:abstractNumId w:val="35"/>
  </w:num>
  <w:num w:numId="19">
    <w:abstractNumId w:val="19"/>
  </w:num>
  <w:num w:numId="20">
    <w:abstractNumId w:val="10"/>
  </w:num>
  <w:num w:numId="21">
    <w:abstractNumId w:val="18"/>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4"/>
  </w:num>
  <w:num w:numId="26">
    <w:abstractNumId w:val="1"/>
  </w:num>
  <w:num w:numId="27">
    <w:abstractNumId w:val="9"/>
  </w:num>
  <w:num w:numId="28">
    <w:abstractNumId w:val="16"/>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3"/>
  </w:num>
  <w:num w:numId="34">
    <w:abstractNumId w:val="11"/>
  </w:num>
  <w:num w:numId="35">
    <w:abstractNumId w:val="1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031"/>
    <w:rsid w:val="00005F40"/>
    <w:rsid w:val="00007BF8"/>
    <w:rsid w:val="000171F8"/>
    <w:rsid w:val="00017ED9"/>
    <w:rsid w:val="00020D54"/>
    <w:rsid w:val="00021A64"/>
    <w:rsid w:val="00021C18"/>
    <w:rsid w:val="0002374C"/>
    <w:rsid w:val="0002578C"/>
    <w:rsid w:val="00031384"/>
    <w:rsid w:val="0003351E"/>
    <w:rsid w:val="000344FC"/>
    <w:rsid w:val="00035DD8"/>
    <w:rsid w:val="0003763B"/>
    <w:rsid w:val="0004345E"/>
    <w:rsid w:val="00045706"/>
    <w:rsid w:val="00045F8F"/>
    <w:rsid w:val="00045FD9"/>
    <w:rsid w:val="00065137"/>
    <w:rsid w:val="000731AC"/>
    <w:rsid w:val="00074E11"/>
    <w:rsid w:val="00076013"/>
    <w:rsid w:val="00081537"/>
    <w:rsid w:val="00083FA8"/>
    <w:rsid w:val="00084473"/>
    <w:rsid w:val="000905AD"/>
    <w:rsid w:val="00093A86"/>
    <w:rsid w:val="000A116A"/>
    <w:rsid w:val="000A30F3"/>
    <w:rsid w:val="000B394B"/>
    <w:rsid w:val="000B7909"/>
    <w:rsid w:val="000C42D5"/>
    <w:rsid w:val="000C68EE"/>
    <w:rsid w:val="000D24FF"/>
    <w:rsid w:val="000D3F1D"/>
    <w:rsid w:val="000D6D95"/>
    <w:rsid w:val="000E200A"/>
    <w:rsid w:val="000E5827"/>
    <w:rsid w:val="000E7A30"/>
    <w:rsid w:val="000F4C83"/>
    <w:rsid w:val="00100CF0"/>
    <w:rsid w:val="00104A36"/>
    <w:rsid w:val="00105A92"/>
    <w:rsid w:val="00105DA3"/>
    <w:rsid w:val="00111B27"/>
    <w:rsid w:val="00117D2C"/>
    <w:rsid w:val="00117D5E"/>
    <w:rsid w:val="0012702C"/>
    <w:rsid w:val="00166013"/>
    <w:rsid w:val="00167A88"/>
    <w:rsid w:val="00177368"/>
    <w:rsid w:val="00185E87"/>
    <w:rsid w:val="00190709"/>
    <w:rsid w:val="001907C2"/>
    <w:rsid w:val="001A1DDE"/>
    <w:rsid w:val="001A687F"/>
    <w:rsid w:val="001D235E"/>
    <w:rsid w:val="001D52AA"/>
    <w:rsid w:val="001F30D3"/>
    <w:rsid w:val="001F4912"/>
    <w:rsid w:val="001F5FA4"/>
    <w:rsid w:val="002004C7"/>
    <w:rsid w:val="00204BAC"/>
    <w:rsid w:val="0020548B"/>
    <w:rsid w:val="00210580"/>
    <w:rsid w:val="00211077"/>
    <w:rsid w:val="00211294"/>
    <w:rsid w:val="00212539"/>
    <w:rsid w:val="00212A5B"/>
    <w:rsid w:val="00217287"/>
    <w:rsid w:val="00222F5C"/>
    <w:rsid w:val="00224103"/>
    <w:rsid w:val="00234C74"/>
    <w:rsid w:val="00234DFE"/>
    <w:rsid w:val="00235266"/>
    <w:rsid w:val="00235CFF"/>
    <w:rsid w:val="00241BB8"/>
    <w:rsid w:val="002506FE"/>
    <w:rsid w:val="00252D2C"/>
    <w:rsid w:val="002603CB"/>
    <w:rsid w:val="0027034E"/>
    <w:rsid w:val="00275827"/>
    <w:rsid w:val="00286B9F"/>
    <w:rsid w:val="00291B80"/>
    <w:rsid w:val="00291F23"/>
    <w:rsid w:val="002A2DDF"/>
    <w:rsid w:val="002B42D9"/>
    <w:rsid w:val="002C7B50"/>
    <w:rsid w:val="002D1E5B"/>
    <w:rsid w:val="002D3FDB"/>
    <w:rsid w:val="002E3CCF"/>
    <w:rsid w:val="002F4BA9"/>
    <w:rsid w:val="002F5C18"/>
    <w:rsid w:val="00304013"/>
    <w:rsid w:val="00312195"/>
    <w:rsid w:val="003142BD"/>
    <w:rsid w:val="00316FE6"/>
    <w:rsid w:val="00317B62"/>
    <w:rsid w:val="003204CD"/>
    <w:rsid w:val="00321263"/>
    <w:rsid w:val="003215FD"/>
    <w:rsid w:val="00322262"/>
    <w:rsid w:val="00330876"/>
    <w:rsid w:val="00332E59"/>
    <w:rsid w:val="003338EB"/>
    <w:rsid w:val="0034063F"/>
    <w:rsid w:val="00343099"/>
    <w:rsid w:val="00345556"/>
    <w:rsid w:val="00355421"/>
    <w:rsid w:val="003741E5"/>
    <w:rsid w:val="003743BC"/>
    <w:rsid w:val="003773F3"/>
    <w:rsid w:val="003841C3"/>
    <w:rsid w:val="00385DD4"/>
    <w:rsid w:val="00390D9D"/>
    <w:rsid w:val="003927D4"/>
    <w:rsid w:val="00392B8E"/>
    <w:rsid w:val="003938B4"/>
    <w:rsid w:val="003951BB"/>
    <w:rsid w:val="003A03BC"/>
    <w:rsid w:val="003A1245"/>
    <w:rsid w:val="003A2710"/>
    <w:rsid w:val="003A42F3"/>
    <w:rsid w:val="003D1BBB"/>
    <w:rsid w:val="003E1775"/>
    <w:rsid w:val="003F2123"/>
    <w:rsid w:val="004016FC"/>
    <w:rsid w:val="00411B60"/>
    <w:rsid w:val="00423850"/>
    <w:rsid w:val="00424AC5"/>
    <w:rsid w:val="004368D1"/>
    <w:rsid w:val="00437BDF"/>
    <w:rsid w:val="00441491"/>
    <w:rsid w:val="00456E5A"/>
    <w:rsid w:val="00466031"/>
    <w:rsid w:val="00466143"/>
    <w:rsid w:val="00466356"/>
    <w:rsid w:val="0046720B"/>
    <w:rsid w:val="0047050C"/>
    <w:rsid w:val="00476CF4"/>
    <w:rsid w:val="00482931"/>
    <w:rsid w:val="00493F6F"/>
    <w:rsid w:val="004967A7"/>
    <w:rsid w:val="004A0D5D"/>
    <w:rsid w:val="004A429A"/>
    <w:rsid w:val="004B580D"/>
    <w:rsid w:val="004C36AE"/>
    <w:rsid w:val="004D30F9"/>
    <w:rsid w:val="004D51A4"/>
    <w:rsid w:val="004E6971"/>
    <w:rsid w:val="004F3401"/>
    <w:rsid w:val="004F6C28"/>
    <w:rsid w:val="0050458A"/>
    <w:rsid w:val="00510E62"/>
    <w:rsid w:val="00511086"/>
    <w:rsid w:val="00512666"/>
    <w:rsid w:val="005141D0"/>
    <w:rsid w:val="00524800"/>
    <w:rsid w:val="00535E67"/>
    <w:rsid w:val="00550DB9"/>
    <w:rsid w:val="005532DC"/>
    <w:rsid w:val="005565AF"/>
    <w:rsid w:val="00557D2F"/>
    <w:rsid w:val="00560D0D"/>
    <w:rsid w:val="00561C3F"/>
    <w:rsid w:val="00565160"/>
    <w:rsid w:val="00565376"/>
    <w:rsid w:val="00570113"/>
    <w:rsid w:val="005703D6"/>
    <w:rsid w:val="00577778"/>
    <w:rsid w:val="00585435"/>
    <w:rsid w:val="005902AD"/>
    <w:rsid w:val="00592D9E"/>
    <w:rsid w:val="00593509"/>
    <w:rsid w:val="00593CD1"/>
    <w:rsid w:val="005A6CAB"/>
    <w:rsid w:val="005B0CE3"/>
    <w:rsid w:val="005B0E82"/>
    <w:rsid w:val="005B1F93"/>
    <w:rsid w:val="005B222E"/>
    <w:rsid w:val="005C2031"/>
    <w:rsid w:val="005D16EF"/>
    <w:rsid w:val="005D4CC4"/>
    <w:rsid w:val="005D55D2"/>
    <w:rsid w:val="005E1781"/>
    <w:rsid w:val="005E738A"/>
    <w:rsid w:val="005E7A47"/>
    <w:rsid w:val="005F6C79"/>
    <w:rsid w:val="0060437D"/>
    <w:rsid w:val="006050E1"/>
    <w:rsid w:val="0061067B"/>
    <w:rsid w:val="00612F82"/>
    <w:rsid w:val="0061415C"/>
    <w:rsid w:val="00615B1B"/>
    <w:rsid w:val="00622C33"/>
    <w:rsid w:val="00624861"/>
    <w:rsid w:val="0063111E"/>
    <w:rsid w:val="006353A1"/>
    <w:rsid w:val="006451A6"/>
    <w:rsid w:val="0065353C"/>
    <w:rsid w:val="006723C8"/>
    <w:rsid w:val="00674E0C"/>
    <w:rsid w:val="006829D5"/>
    <w:rsid w:val="00683F56"/>
    <w:rsid w:val="00693095"/>
    <w:rsid w:val="00696666"/>
    <w:rsid w:val="006A010B"/>
    <w:rsid w:val="006A29B6"/>
    <w:rsid w:val="006A4338"/>
    <w:rsid w:val="006B24D3"/>
    <w:rsid w:val="006C14D4"/>
    <w:rsid w:val="006C1CB5"/>
    <w:rsid w:val="006C2B4E"/>
    <w:rsid w:val="006C3368"/>
    <w:rsid w:val="006C3C91"/>
    <w:rsid w:val="006C5FDF"/>
    <w:rsid w:val="006C6204"/>
    <w:rsid w:val="006C6A40"/>
    <w:rsid w:val="006D08C3"/>
    <w:rsid w:val="006D1DAF"/>
    <w:rsid w:val="006D4462"/>
    <w:rsid w:val="006D4AA1"/>
    <w:rsid w:val="006F2C28"/>
    <w:rsid w:val="00702EFF"/>
    <w:rsid w:val="00710340"/>
    <w:rsid w:val="007117A2"/>
    <w:rsid w:val="007162C9"/>
    <w:rsid w:val="007205BF"/>
    <w:rsid w:val="00725FC4"/>
    <w:rsid w:val="0073258D"/>
    <w:rsid w:val="007439A5"/>
    <w:rsid w:val="007442D3"/>
    <w:rsid w:val="0076404C"/>
    <w:rsid w:val="00764896"/>
    <w:rsid w:val="00767D52"/>
    <w:rsid w:val="007730D2"/>
    <w:rsid w:val="00774632"/>
    <w:rsid w:val="00784EAC"/>
    <w:rsid w:val="007911D5"/>
    <w:rsid w:val="00794893"/>
    <w:rsid w:val="00795680"/>
    <w:rsid w:val="007A1022"/>
    <w:rsid w:val="007A3806"/>
    <w:rsid w:val="007A5394"/>
    <w:rsid w:val="007A722F"/>
    <w:rsid w:val="007A730E"/>
    <w:rsid w:val="007B02C4"/>
    <w:rsid w:val="007B1A9B"/>
    <w:rsid w:val="007C0270"/>
    <w:rsid w:val="007C195C"/>
    <w:rsid w:val="007C20F4"/>
    <w:rsid w:val="007C4760"/>
    <w:rsid w:val="007D03BE"/>
    <w:rsid w:val="007D789E"/>
    <w:rsid w:val="007E70B8"/>
    <w:rsid w:val="007F0B9C"/>
    <w:rsid w:val="007F3A09"/>
    <w:rsid w:val="00800050"/>
    <w:rsid w:val="008041C3"/>
    <w:rsid w:val="008061C8"/>
    <w:rsid w:val="00810009"/>
    <w:rsid w:val="00811D33"/>
    <w:rsid w:val="00813EB6"/>
    <w:rsid w:val="008157A3"/>
    <w:rsid w:val="00822B35"/>
    <w:rsid w:val="00832E1D"/>
    <w:rsid w:val="0085284A"/>
    <w:rsid w:val="008531A9"/>
    <w:rsid w:val="00855311"/>
    <w:rsid w:val="00862002"/>
    <w:rsid w:val="008666E8"/>
    <w:rsid w:val="00871549"/>
    <w:rsid w:val="00871980"/>
    <w:rsid w:val="00875C2D"/>
    <w:rsid w:val="00892285"/>
    <w:rsid w:val="00895796"/>
    <w:rsid w:val="008A2EE6"/>
    <w:rsid w:val="008A5C0E"/>
    <w:rsid w:val="008B0B98"/>
    <w:rsid w:val="008B34D9"/>
    <w:rsid w:val="008B455C"/>
    <w:rsid w:val="008B78EF"/>
    <w:rsid w:val="008C21CF"/>
    <w:rsid w:val="008C3EEB"/>
    <w:rsid w:val="008C531C"/>
    <w:rsid w:val="008D2929"/>
    <w:rsid w:val="008F1988"/>
    <w:rsid w:val="008F1CEF"/>
    <w:rsid w:val="009011F9"/>
    <w:rsid w:val="00917C5C"/>
    <w:rsid w:val="009413BC"/>
    <w:rsid w:val="00942781"/>
    <w:rsid w:val="009431AE"/>
    <w:rsid w:val="009456FE"/>
    <w:rsid w:val="0095324B"/>
    <w:rsid w:val="00953982"/>
    <w:rsid w:val="00957F33"/>
    <w:rsid w:val="0096270A"/>
    <w:rsid w:val="009635E8"/>
    <w:rsid w:val="00965398"/>
    <w:rsid w:val="00974F49"/>
    <w:rsid w:val="00984390"/>
    <w:rsid w:val="009854A6"/>
    <w:rsid w:val="009859E8"/>
    <w:rsid w:val="009867F3"/>
    <w:rsid w:val="0099069B"/>
    <w:rsid w:val="00993A11"/>
    <w:rsid w:val="00997197"/>
    <w:rsid w:val="009A1CA5"/>
    <w:rsid w:val="009B5315"/>
    <w:rsid w:val="009B7681"/>
    <w:rsid w:val="009C190C"/>
    <w:rsid w:val="009C1EBA"/>
    <w:rsid w:val="009C4597"/>
    <w:rsid w:val="009D30C4"/>
    <w:rsid w:val="009E05D7"/>
    <w:rsid w:val="009E5B07"/>
    <w:rsid w:val="009F3B0D"/>
    <w:rsid w:val="00A008D2"/>
    <w:rsid w:val="00A027B9"/>
    <w:rsid w:val="00A07B66"/>
    <w:rsid w:val="00A111F2"/>
    <w:rsid w:val="00A13708"/>
    <w:rsid w:val="00A214DF"/>
    <w:rsid w:val="00A216BC"/>
    <w:rsid w:val="00A24A13"/>
    <w:rsid w:val="00A261F7"/>
    <w:rsid w:val="00A2707A"/>
    <w:rsid w:val="00A31BD2"/>
    <w:rsid w:val="00A344F3"/>
    <w:rsid w:val="00A35EAB"/>
    <w:rsid w:val="00A40F8D"/>
    <w:rsid w:val="00A4373A"/>
    <w:rsid w:val="00A458EB"/>
    <w:rsid w:val="00A469D2"/>
    <w:rsid w:val="00A47273"/>
    <w:rsid w:val="00A6785B"/>
    <w:rsid w:val="00A70705"/>
    <w:rsid w:val="00A7217E"/>
    <w:rsid w:val="00A76947"/>
    <w:rsid w:val="00A81A03"/>
    <w:rsid w:val="00A81AAC"/>
    <w:rsid w:val="00A90298"/>
    <w:rsid w:val="00A92A78"/>
    <w:rsid w:val="00A9630C"/>
    <w:rsid w:val="00A974C0"/>
    <w:rsid w:val="00A97A3A"/>
    <w:rsid w:val="00AA02A2"/>
    <w:rsid w:val="00AA12AB"/>
    <w:rsid w:val="00AA35A9"/>
    <w:rsid w:val="00AB0AEA"/>
    <w:rsid w:val="00AC13E0"/>
    <w:rsid w:val="00AC18A9"/>
    <w:rsid w:val="00AC5C5F"/>
    <w:rsid w:val="00AC7B9E"/>
    <w:rsid w:val="00AD5649"/>
    <w:rsid w:val="00AE5FCA"/>
    <w:rsid w:val="00AE7857"/>
    <w:rsid w:val="00AF5C7C"/>
    <w:rsid w:val="00AF5F9A"/>
    <w:rsid w:val="00B00D0A"/>
    <w:rsid w:val="00B042E3"/>
    <w:rsid w:val="00B07AC1"/>
    <w:rsid w:val="00B1184F"/>
    <w:rsid w:val="00B1615C"/>
    <w:rsid w:val="00B1744C"/>
    <w:rsid w:val="00B26D55"/>
    <w:rsid w:val="00B311F5"/>
    <w:rsid w:val="00B34A6B"/>
    <w:rsid w:val="00B35D4D"/>
    <w:rsid w:val="00B37024"/>
    <w:rsid w:val="00B47D8F"/>
    <w:rsid w:val="00B53B2B"/>
    <w:rsid w:val="00B54A10"/>
    <w:rsid w:val="00B67937"/>
    <w:rsid w:val="00B67CB0"/>
    <w:rsid w:val="00B715DA"/>
    <w:rsid w:val="00B71BFB"/>
    <w:rsid w:val="00B804DE"/>
    <w:rsid w:val="00B93B9C"/>
    <w:rsid w:val="00B97333"/>
    <w:rsid w:val="00BA5AB2"/>
    <w:rsid w:val="00BB2D1C"/>
    <w:rsid w:val="00BB3F5A"/>
    <w:rsid w:val="00BB5999"/>
    <w:rsid w:val="00BC1E92"/>
    <w:rsid w:val="00BC5C99"/>
    <w:rsid w:val="00BC7063"/>
    <w:rsid w:val="00BC71E1"/>
    <w:rsid w:val="00BE3216"/>
    <w:rsid w:val="00BF0ED7"/>
    <w:rsid w:val="00BF61BB"/>
    <w:rsid w:val="00C0299B"/>
    <w:rsid w:val="00C04022"/>
    <w:rsid w:val="00C04D9E"/>
    <w:rsid w:val="00C06998"/>
    <w:rsid w:val="00C10A49"/>
    <w:rsid w:val="00C51136"/>
    <w:rsid w:val="00C62618"/>
    <w:rsid w:val="00C65E64"/>
    <w:rsid w:val="00C66AAC"/>
    <w:rsid w:val="00C70471"/>
    <w:rsid w:val="00C75F69"/>
    <w:rsid w:val="00C77719"/>
    <w:rsid w:val="00C804C0"/>
    <w:rsid w:val="00C813FE"/>
    <w:rsid w:val="00C82428"/>
    <w:rsid w:val="00C93080"/>
    <w:rsid w:val="00CA5D3E"/>
    <w:rsid w:val="00CA615D"/>
    <w:rsid w:val="00CA6E96"/>
    <w:rsid w:val="00CB0DC2"/>
    <w:rsid w:val="00CB19A5"/>
    <w:rsid w:val="00CD099A"/>
    <w:rsid w:val="00CD0AC5"/>
    <w:rsid w:val="00CD33B8"/>
    <w:rsid w:val="00CD7B40"/>
    <w:rsid w:val="00CD7BBD"/>
    <w:rsid w:val="00CE3326"/>
    <w:rsid w:val="00CF1F9E"/>
    <w:rsid w:val="00CF7D62"/>
    <w:rsid w:val="00D00D3A"/>
    <w:rsid w:val="00D01DF8"/>
    <w:rsid w:val="00D0563B"/>
    <w:rsid w:val="00D115CA"/>
    <w:rsid w:val="00D122B8"/>
    <w:rsid w:val="00D12807"/>
    <w:rsid w:val="00D15126"/>
    <w:rsid w:val="00D208B3"/>
    <w:rsid w:val="00D33317"/>
    <w:rsid w:val="00D40E44"/>
    <w:rsid w:val="00D4331C"/>
    <w:rsid w:val="00D45BAF"/>
    <w:rsid w:val="00D5295B"/>
    <w:rsid w:val="00D54101"/>
    <w:rsid w:val="00D54350"/>
    <w:rsid w:val="00D55151"/>
    <w:rsid w:val="00D57CFE"/>
    <w:rsid w:val="00D625F4"/>
    <w:rsid w:val="00D62953"/>
    <w:rsid w:val="00D630C7"/>
    <w:rsid w:val="00D6379E"/>
    <w:rsid w:val="00D720C1"/>
    <w:rsid w:val="00D76D31"/>
    <w:rsid w:val="00D81CC0"/>
    <w:rsid w:val="00D82F27"/>
    <w:rsid w:val="00D85260"/>
    <w:rsid w:val="00D91D41"/>
    <w:rsid w:val="00D91FCE"/>
    <w:rsid w:val="00D945DC"/>
    <w:rsid w:val="00DA0C4A"/>
    <w:rsid w:val="00DA0EA3"/>
    <w:rsid w:val="00DB1E37"/>
    <w:rsid w:val="00DB6A5D"/>
    <w:rsid w:val="00DC4158"/>
    <w:rsid w:val="00DD3673"/>
    <w:rsid w:val="00DE749A"/>
    <w:rsid w:val="00DF22F8"/>
    <w:rsid w:val="00E02FF8"/>
    <w:rsid w:val="00E04C55"/>
    <w:rsid w:val="00E07365"/>
    <w:rsid w:val="00E173E2"/>
    <w:rsid w:val="00E17696"/>
    <w:rsid w:val="00E21DDE"/>
    <w:rsid w:val="00E41C92"/>
    <w:rsid w:val="00E41D19"/>
    <w:rsid w:val="00E73B6B"/>
    <w:rsid w:val="00E73B72"/>
    <w:rsid w:val="00E7402D"/>
    <w:rsid w:val="00E81111"/>
    <w:rsid w:val="00E82906"/>
    <w:rsid w:val="00E84411"/>
    <w:rsid w:val="00E866D8"/>
    <w:rsid w:val="00E931FC"/>
    <w:rsid w:val="00E97528"/>
    <w:rsid w:val="00EA06F1"/>
    <w:rsid w:val="00EA0827"/>
    <w:rsid w:val="00EA08BE"/>
    <w:rsid w:val="00EA55B2"/>
    <w:rsid w:val="00EA61D7"/>
    <w:rsid w:val="00EB0507"/>
    <w:rsid w:val="00EB1D8C"/>
    <w:rsid w:val="00EB5959"/>
    <w:rsid w:val="00EB77E1"/>
    <w:rsid w:val="00ED19EB"/>
    <w:rsid w:val="00ED6C0B"/>
    <w:rsid w:val="00EE643C"/>
    <w:rsid w:val="00EE6A74"/>
    <w:rsid w:val="00EF4076"/>
    <w:rsid w:val="00F019B2"/>
    <w:rsid w:val="00F104B4"/>
    <w:rsid w:val="00F2119D"/>
    <w:rsid w:val="00F2732E"/>
    <w:rsid w:val="00F342F4"/>
    <w:rsid w:val="00F35C24"/>
    <w:rsid w:val="00F37C91"/>
    <w:rsid w:val="00F41C50"/>
    <w:rsid w:val="00F55C62"/>
    <w:rsid w:val="00F56799"/>
    <w:rsid w:val="00F61CDA"/>
    <w:rsid w:val="00F641CC"/>
    <w:rsid w:val="00F72F43"/>
    <w:rsid w:val="00F74874"/>
    <w:rsid w:val="00F76DA4"/>
    <w:rsid w:val="00F77285"/>
    <w:rsid w:val="00F92DE6"/>
    <w:rsid w:val="00F96122"/>
    <w:rsid w:val="00FA297A"/>
    <w:rsid w:val="00FA397F"/>
    <w:rsid w:val="00FA407C"/>
    <w:rsid w:val="00FA43AF"/>
    <w:rsid w:val="00FA78F9"/>
    <w:rsid w:val="00FB0B35"/>
    <w:rsid w:val="00FB6514"/>
    <w:rsid w:val="00FB71B0"/>
    <w:rsid w:val="00FC217E"/>
    <w:rsid w:val="00FC5AFB"/>
    <w:rsid w:val="00FD1F67"/>
    <w:rsid w:val="00FD3AC9"/>
    <w:rsid w:val="00FE2F99"/>
    <w:rsid w:val="00FE6ECA"/>
    <w:rsid w:val="00FF003B"/>
    <w:rsid w:val="00FF0DD9"/>
    <w:rsid w:val="00FF5F91"/>
    <w:rsid w:val="00FF7A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DAF44"/>
  <w15:docId w15:val="{153AB955-1E26-4777-BB36-73BC3852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s-CO" w:eastAsia="es-CO"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65376"/>
  </w:style>
  <w:style w:type="paragraph" w:styleId="Ttulo1">
    <w:name w:val="heading 1"/>
    <w:basedOn w:val="Normal"/>
    <w:next w:val="Normal"/>
    <w:pPr>
      <w:keepNext/>
      <w:keepLines/>
      <w:spacing w:before="240" w:after="0"/>
      <w:outlineLvl w:val="0"/>
    </w:pPr>
    <w:rPr>
      <w:rFonts w:ascii="Calibri" w:eastAsia="Calibri" w:hAnsi="Calibri" w:cs="Calibri"/>
      <w:color w:val="2E75B5"/>
      <w:sz w:val="32"/>
      <w:szCs w:val="32"/>
    </w:rPr>
  </w:style>
  <w:style w:type="paragraph" w:styleId="Ttulo2">
    <w:name w:val="heading 2"/>
    <w:basedOn w:val="Normal"/>
    <w:next w:val="Normal"/>
    <w:pPr>
      <w:spacing w:line="240" w:lineRule="auto"/>
      <w:jc w:val="left"/>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40" w:after="0"/>
      <w:outlineLvl w:val="2"/>
    </w:pPr>
    <w:rPr>
      <w:rFonts w:ascii="Calibri" w:eastAsia="Calibri" w:hAnsi="Calibri" w:cs="Calibri"/>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117D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D5E"/>
    <w:rPr>
      <w:rFonts w:ascii="Tahoma" w:hAnsi="Tahoma" w:cs="Tahoma"/>
      <w:sz w:val="16"/>
      <w:szCs w:val="16"/>
    </w:rPr>
  </w:style>
  <w:style w:type="paragraph" w:styleId="Sinespaciado">
    <w:name w:val="No Spacing"/>
    <w:link w:val="SinespaciadoCar"/>
    <w:uiPriority w:val="1"/>
    <w:qFormat/>
    <w:rsid w:val="0003763B"/>
    <w:pPr>
      <w:spacing w:after="0" w:line="240" w:lineRule="auto"/>
    </w:pPr>
  </w:style>
  <w:style w:type="character" w:styleId="Hipervnculo">
    <w:name w:val="Hyperlink"/>
    <w:basedOn w:val="Fuentedeprrafopredeter"/>
    <w:uiPriority w:val="99"/>
    <w:unhideWhenUsed/>
    <w:rsid w:val="006C3C91"/>
    <w:rPr>
      <w:color w:val="0000FF"/>
      <w:u w:val="single"/>
    </w:rPr>
  </w:style>
  <w:style w:type="character" w:customStyle="1" w:styleId="SinespaciadoCar">
    <w:name w:val="Sin espaciado Car"/>
    <w:link w:val="Sinespaciado"/>
    <w:uiPriority w:val="1"/>
    <w:locked/>
    <w:rsid w:val="00AA35A9"/>
  </w:style>
  <w:style w:type="paragraph" w:styleId="Textonotapie">
    <w:name w:val="footnote text"/>
    <w:basedOn w:val="Normal"/>
    <w:link w:val="TextonotapieCar"/>
    <w:uiPriority w:val="99"/>
    <w:semiHidden/>
    <w:unhideWhenUsed/>
    <w:rsid w:val="00D122B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22B8"/>
    <w:rPr>
      <w:sz w:val="20"/>
      <w:szCs w:val="20"/>
    </w:rPr>
  </w:style>
  <w:style w:type="character" w:styleId="Refdenotaalpie">
    <w:name w:val="footnote reference"/>
    <w:basedOn w:val="Fuentedeprrafopredeter"/>
    <w:uiPriority w:val="99"/>
    <w:semiHidden/>
    <w:unhideWhenUsed/>
    <w:rsid w:val="00D122B8"/>
    <w:rPr>
      <w:vertAlign w:val="superscript"/>
    </w:rPr>
  </w:style>
  <w:style w:type="paragraph" w:styleId="Prrafodelista">
    <w:name w:val="List Paragraph"/>
    <w:basedOn w:val="Normal"/>
    <w:link w:val="PrrafodelistaCar"/>
    <w:uiPriority w:val="34"/>
    <w:qFormat/>
    <w:rsid w:val="00E81111"/>
    <w:pPr>
      <w:ind w:left="720"/>
      <w:contextualSpacing/>
      <w:jc w:val="left"/>
    </w:pPr>
    <w:rPr>
      <w:rFonts w:asciiTheme="minorHAnsi" w:eastAsiaTheme="minorHAnsi" w:hAnsiTheme="minorHAnsi" w:cstheme="minorBidi"/>
      <w:lang w:val="es-MX" w:eastAsia="en-US"/>
    </w:rPr>
  </w:style>
  <w:style w:type="paragraph" w:styleId="Encabezado">
    <w:name w:val="header"/>
    <w:basedOn w:val="Normal"/>
    <w:link w:val="EncabezadoCar"/>
    <w:uiPriority w:val="99"/>
    <w:unhideWhenUsed/>
    <w:rsid w:val="00550D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0DB9"/>
  </w:style>
  <w:style w:type="paragraph" w:styleId="Piedepgina">
    <w:name w:val="footer"/>
    <w:basedOn w:val="Normal"/>
    <w:link w:val="PiedepginaCar"/>
    <w:uiPriority w:val="99"/>
    <w:unhideWhenUsed/>
    <w:rsid w:val="00550D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0DB9"/>
  </w:style>
  <w:style w:type="character" w:styleId="Textoennegrita">
    <w:name w:val="Strong"/>
    <w:basedOn w:val="Fuentedeprrafopredeter"/>
    <w:uiPriority w:val="22"/>
    <w:qFormat/>
    <w:rsid w:val="00437BDF"/>
    <w:rPr>
      <w:b/>
      <w:bCs/>
    </w:rPr>
  </w:style>
  <w:style w:type="character" w:customStyle="1" w:styleId="PrrafodelistaCar">
    <w:name w:val="Párrafo de lista Car"/>
    <w:link w:val="Prrafodelista"/>
    <w:uiPriority w:val="34"/>
    <w:locked/>
    <w:rsid w:val="00577778"/>
    <w:rPr>
      <w:rFonts w:asciiTheme="minorHAnsi" w:eastAsiaTheme="minorHAnsi" w:hAnsiTheme="minorHAnsi" w:cstheme="minorBidi"/>
      <w:lang w:val="es-MX" w:eastAsia="en-US"/>
    </w:rPr>
  </w:style>
  <w:style w:type="paragraph" w:styleId="NormalWeb">
    <w:name w:val="Normal (Web)"/>
    <w:basedOn w:val="Normal"/>
    <w:uiPriority w:val="99"/>
    <w:unhideWhenUsed/>
    <w:rsid w:val="00E07365"/>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aconcuadrcula">
    <w:name w:val="Table Grid"/>
    <w:basedOn w:val="Tablanormal"/>
    <w:uiPriority w:val="59"/>
    <w:rsid w:val="00794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sec">
    <w:name w:val="sub-subsec"/>
    <w:basedOn w:val="Normal"/>
    <w:uiPriority w:val="99"/>
    <w:semiHidden/>
    <w:rsid w:val="00081537"/>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1"/>
    <w:qFormat/>
    <w:rsid w:val="003938B4"/>
    <w:pPr>
      <w:widowControl w:val="0"/>
      <w:autoSpaceDE w:val="0"/>
      <w:autoSpaceDN w:val="0"/>
      <w:spacing w:after="0" w:line="240" w:lineRule="auto"/>
      <w:jc w:val="left"/>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3938B4"/>
    <w:rPr>
      <w:rFonts w:ascii="Arial" w:eastAsia="Arial" w:hAnsi="Arial" w:cs="Arial"/>
      <w:sz w:val="24"/>
      <w:szCs w:val="24"/>
      <w:lang w:val="es-ES" w:eastAsia="es-ES" w:bidi="es-ES"/>
    </w:rPr>
  </w:style>
  <w:style w:type="paragraph" w:customStyle="1" w:styleId="TableParagraph">
    <w:name w:val="Table Paragraph"/>
    <w:basedOn w:val="Normal"/>
    <w:uiPriority w:val="1"/>
    <w:qFormat/>
    <w:rsid w:val="003938B4"/>
    <w:pPr>
      <w:widowControl w:val="0"/>
      <w:autoSpaceDE w:val="0"/>
      <w:autoSpaceDN w:val="0"/>
      <w:spacing w:before="14" w:after="0" w:line="240" w:lineRule="auto"/>
      <w:jc w:val="center"/>
    </w:pPr>
    <w:rPr>
      <w:rFonts w:ascii="Arial" w:eastAsia="Arial" w:hAnsi="Arial" w:cs="Arial"/>
      <w:lang w:val="es-ES" w:eastAsia="es-ES" w:bidi="es-ES"/>
    </w:rPr>
  </w:style>
  <w:style w:type="character" w:styleId="Hipervnculovisitado">
    <w:name w:val="FollowedHyperlink"/>
    <w:basedOn w:val="Fuentedeprrafopredeter"/>
    <w:uiPriority w:val="99"/>
    <w:semiHidden/>
    <w:unhideWhenUsed/>
    <w:rsid w:val="005C20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654">
      <w:bodyDiv w:val="1"/>
      <w:marLeft w:val="0"/>
      <w:marRight w:val="0"/>
      <w:marTop w:val="0"/>
      <w:marBottom w:val="0"/>
      <w:divBdr>
        <w:top w:val="none" w:sz="0" w:space="0" w:color="auto"/>
        <w:left w:val="none" w:sz="0" w:space="0" w:color="auto"/>
        <w:bottom w:val="none" w:sz="0" w:space="0" w:color="auto"/>
        <w:right w:val="none" w:sz="0" w:space="0" w:color="auto"/>
      </w:divBdr>
    </w:div>
    <w:div w:id="96482713">
      <w:bodyDiv w:val="1"/>
      <w:marLeft w:val="0"/>
      <w:marRight w:val="0"/>
      <w:marTop w:val="0"/>
      <w:marBottom w:val="0"/>
      <w:divBdr>
        <w:top w:val="none" w:sz="0" w:space="0" w:color="auto"/>
        <w:left w:val="none" w:sz="0" w:space="0" w:color="auto"/>
        <w:bottom w:val="none" w:sz="0" w:space="0" w:color="auto"/>
        <w:right w:val="none" w:sz="0" w:space="0" w:color="auto"/>
      </w:divBdr>
    </w:div>
    <w:div w:id="295261183">
      <w:bodyDiv w:val="1"/>
      <w:marLeft w:val="0"/>
      <w:marRight w:val="0"/>
      <w:marTop w:val="0"/>
      <w:marBottom w:val="0"/>
      <w:divBdr>
        <w:top w:val="none" w:sz="0" w:space="0" w:color="auto"/>
        <w:left w:val="none" w:sz="0" w:space="0" w:color="auto"/>
        <w:bottom w:val="none" w:sz="0" w:space="0" w:color="auto"/>
        <w:right w:val="none" w:sz="0" w:space="0" w:color="auto"/>
      </w:divBdr>
    </w:div>
    <w:div w:id="344284134">
      <w:bodyDiv w:val="1"/>
      <w:marLeft w:val="0"/>
      <w:marRight w:val="0"/>
      <w:marTop w:val="0"/>
      <w:marBottom w:val="0"/>
      <w:divBdr>
        <w:top w:val="none" w:sz="0" w:space="0" w:color="auto"/>
        <w:left w:val="none" w:sz="0" w:space="0" w:color="auto"/>
        <w:bottom w:val="none" w:sz="0" w:space="0" w:color="auto"/>
        <w:right w:val="none" w:sz="0" w:space="0" w:color="auto"/>
      </w:divBdr>
    </w:div>
    <w:div w:id="520971234">
      <w:bodyDiv w:val="1"/>
      <w:marLeft w:val="0"/>
      <w:marRight w:val="0"/>
      <w:marTop w:val="0"/>
      <w:marBottom w:val="0"/>
      <w:divBdr>
        <w:top w:val="none" w:sz="0" w:space="0" w:color="auto"/>
        <w:left w:val="none" w:sz="0" w:space="0" w:color="auto"/>
        <w:bottom w:val="none" w:sz="0" w:space="0" w:color="auto"/>
        <w:right w:val="none" w:sz="0" w:space="0" w:color="auto"/>
      </w:divBdr>
    </w:div>
    <w:div w:id="977034339">
      <w:bodyDiv w:val="1"/>
      <w:marLeft w:val="0"/>
      <w:marRight w:val="0"/>
      <w:marTop w:val="0"/>
      <w:marBottom w:val="0"/>
      <w:divBdr>
        <w:top w:val="none" w:sz="0" w:space="0" w:color="auto"/>
        <w:left w:val="none" w:sz="0" w:space="0" w:color="auto"/>
        <w:bottom w:val="none" w:sz="0" w:space="0" w:color="auto"/>
        <w:right w:val="none" w:sz="0" w:space="0" w:color="auto"/>
      </w:divBdr>
    </w:div>
    <w:div w:id="1025401394">
      <w:bodyDiv w:val="1"/>
      <w:marLeft w:val="0"/>
      <w:marRight w:val="0"/>
      <w:marTop w:val="0"/>
      <w:marBottom w:val="0"/>
      <w:divBdr>
        <w:top w:val="none" w:sz="0" w:space="0" w:color="auto"/>
        <w:left w:val="none" w:sz="0" w:space="0" w:color="auto"/>
        <w:bottom w:val="none" w:sz="0" w:space="0" w:color="auto"/>
        <w:right w:val="none" w:sz="0" w:space="0" w:color="auto"/>
      </w:divBdr>
    </w:div>
    <w:div w:id="1537422538">
      <w:bodyDiv w:val="1"/>
      <w:marLeft w:val="0"/>
      <w:marRight w:val="0"/>
      <w:marTop w:val="0"/>
      <w:marBottom w:val="0"/>
      <w:divBdr>
        <w:top w:val="none" w:sz="0" w:space="0" w:color="auto"/>
        <w:left w:val="none" w:sz="0" w:space="0" w:color="auto"/>
        <w:bottom w:val="none" w:sz="0" w:space="0" w:color="auto"/>
        <w:right w:val="none" w:sz="0" w:space="0" w:color="auto"/>
      </w:divBdr>
    </w:div>
    <w:div w:id="1603104327">
      <w:bodyDiv w:val="1"/>
      <w:marLeft w:val="0"/>
      <w:marRight w:val="0"/>
      <w:marTop w:val="0"/>
      <w:marBottom w:val="0"/>
      <w:divBdr>
        <w:top w:val="none" w:sz="0" w:space="0" w:color="auto"/>
        <w:left w:val="none" w:sz="0" w:space="0" w:color="auto"/>
        <w:bottom w:val="none" w:sz="0" w:space="0" w:color="auto"/>
        <w:right w:val="none" w:sz="0" w:space="0" w:color="auto"/>
      </w:divBdr>
    </w:div>
    <w:div w:id="1725985221">
      <w:bodyDiv w:val="1"/>
      <w:marLeft w:val="0"/>
      <w:marRight w:val="0"/>
      <w:marTop w:val="0"/>
      <w:marBottom w:val="0"/>
      <w:divBdr>
        <w:top w:val="none" w:sz="0" w:space="0" w:color="auto"/>
        <w:left w:val="none" w:sz="0" w:space="0" w:color="auto"/>
        <w:bottom w:val="none" w:sz="0" w:space="0" w:color="auto"/>
        <w:right w:val="none" w:sz="0" w:space="0" w:color="auto"/>
      </w:divBdr>
    </w:div>
    <w:div w:id="2123576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sispro.gov.co/observatorios/oncancer/Paginas/onc_boletin_02_cancer.aspx" TargetMode="External"/><Relationship Id="rId2" Type="http://schemas.openxmlformats.org/officeDocument/2006/relationships/hyperlink" Target="https://www.minsalud.gov.co/Paginas/Incidencia-del-cancer-se-redujo-en-los-ultimos-3-anos.aspx" TargetMode="External"/><Relationship Id="rId1" Type="http://schemas.openxmlformats.org/officeDocument/2006/relationships/hyperlink" Target="https://cuentadealtocosto.org/site/cancer/dia-mundial-del-cancer-2021/" TargetMode="External"/><Relationship Id="rId6" Type="http://schemas.openxmlformats.org/officeDocument/2006/relationships/hyperlink" Target="https://www.pacientescolombia.org/boletines" TargetMode="External"/><Relationship Id="rId5" Type="http://schemas.openxmlformats.org/officeDocument/2006/relationships/hyperlink" Target="https://www.sispro.gov.co/observatorios/oncancer/Paginas/onc_boletin_02_cancer.aspx" TargetMode="External"/><Relationship Id="rId4" Type="http://schemas.openxmlformats.org/officeDocument/2006/relationships/hyperlink" Target="https://consultorsalud.com/covid-19-y-el-diagnostico-del-canc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s-ES_tradnl" sz="1400" b="1">
                <a:latin typeface="Arial" panose="020B0604020202020204" pitchFamily="34" charset="0"/>
                <a:cs typeface="Arial" panose="020B0604020202020204" pitchFamily="34" charset="0"/>
              </a:rPr>
              <a:t>Evolución del Cáncer en Colombia (2015-2020)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lineChart>
        <c:grouping val="standard"/>
        <c:varyColors val="0"/>
        <c:ser>
          <c:idx val="0"/>
          <c:order val="0"/>
          <c:tx>
            <c:strRef>
              <c:f>Hoja1!$B$1</c:f>
              <c:strCache>
                <c:ptCount val="1"/>
                <c:pt idx="0">
                  <c:v>Prevalencia</c:v>
                </c:pt>
              </c:strCache>
            </c:strRef>
          </c:tx>
          <c:spPr>
            <a:ln w="28575" cap="rnd">
              <a:solidFill>
                <a:schemeClr val="accent1"/>
              </a:solidFill>
              <a:round/>
            </a:ln>
            <a:effectLst/>
          </c:spPr>
          <c:marker>
            <c:symbol val="none"/>
          </c:marker>
          <c:dLbls>
            <c:dLbl>
              <c:idx val="0"/>
              <c:layout>
                <c:manualLayout>
                  <c:x val="-2.2074800177662599E-17"/>
                  <c:y val="-5.1934562451311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80-451E-8420-772B5056F924}"/>
                </c:ext>
              </c:extLst>
            </c:dLbl>
            <c:dLbl>
              <c:idx val="1"/>
              <c:layout>
                <c:manualLayout>
                  <c:x val="-4.4149600355325303E-17"/>
                  <c:y val="-4.15476499610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80-451E-8420-772B5056F924}"/>
                </c:ext>
              </c:extLst>
            </c:dLbl>
            <c:dLbl>
              <c:idx val="2"/>
              <c:layout>
                <c:manualLayout>
                  <c:x val="0"/>
                  <c:y val="-5.1934562451311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80-451E-8420-772B5056F924}"/>
                </c:ext>
              </c:extLst>
            </c:dLbl>
            <c:dLbl>
              <c:idx val="3"/>
              <c:layout>
                <c:manualLayout>
                  <c:x val="-8.8299200710650606E-17"/>
                  <c:y val="-4.6741106206180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80-451E-8420-772B5056F9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2015</c:v>
                </c:pt>
                <c:pt idx="1">
                  <c:v>2016</c:v>
                </c:pt>
                <c:pt idx="2">
                  <c:v>2017</c:v>
                </c:pt>
                <c:pt idx="3">
                  <c:v>2018</c:v>
                </c:pt>
                <c:pt idx="4">
                  <c:v>2019</c:v>
                </c:pt>
                <c:pt idx="5">
                  <c:v>2020</c:v>
                </c:pt>
              </c:numCache>
            </c:numRef>
          </c:cat>
          <c:val>
            <c:numRef>
              <c:f>Hoja1!$B$2:$B$7</c:f>
              <c:numCache>
                <c:formatCode>General</c:formatCode>
                <c:ptCount val="6"/>
                <c:pt idx="0">
                  <c:v>339.8</c:v>
                </c:pt>
                <c:pt idx="1">
                  <c:v>393.6</c:v>
                </c:pt>
                <c:pt idx="2">
                  <c:v>446.9</c:v>
                </c:pt>
                <c:pt idx="3">
                  <c:v>531</c:v>
                </c:pt>
                <c:pt idx="4">
                  <c:v>533</c:v>
                </c:pt>
                <c:pt idx="5">
                  <c:v>686.9</c:v>
                </c:pt>
              </c:numCache>
            </c:numRef>
          </c:val>
          <c:smooth val="0"/>
          <c:extLst>
            <c:ext xmlns:c16="http://schemas.microsoft.com/office/drawing/2014/chart" uri="{C3380CC4-5D6E-409C-BE32-E72D297353CC}">
              <c16:uniqueId val="{00000004-E280-451E-8420-772B5056F924}"/>
            </c:ext>
          </c:extLst>
        </c:ser>
        <c:ser>
          <c:idx val="1"/>
          <c:order val="1"/>
          <c:tx>
            <c:strRef>
              <c:f>Hoja1!$C$1</c:f>
              <c:strCache>
                <c:ptCount val="1"/>
                <c:pt idx="0">
                  <c:v>Mortalidad</c:v>
                </c:pt>
              </c:strCache>
            </c:strRef>
          </c:tx>
          <c:spPr>
            <a:ln w="28575" cap="rnd">
              <a:solidFill>
                <a:schemeClr val="accent2"/>
              </a:solidFill>
              <a:round/>
            </a:ln>
            <a:effectLst/>
          </c:spPr>
          <c:marker>
            <c:symbol val="none"/>
          </c:marker>
          <c:dLbls>
            <c:dLbl>
              <c:idx val="0"/>
              <c:layout>
                <c:manualLayout>
                  <c:x val="-2.2074800177662599E-17"/>
                  <c:y val="-2.0773824980524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80-451E-8420-772B5056F924}"/>
                </c:ext>
              </c:extLst>
            </c:dLbl>
            <c:dLbl>
              <c:idx val="1"/>
              <c:layout>
                <c:manualLayout>
                  <c:x val="-4.4149600355325303E-17"/>
                  <c:y val="-3.6354193715917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80-451E-8420-772B5056F924}"/>
                </c:ext>
              </c:extLst>
            </c:dLbl>
            <c:dLbl>
              <c:idx val="2"/>
              <c:layout>
                <c:manualLayout>
                  <c:x val="0"/>
                  <c:y val="-5.1934562451311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80-451E-8420-772B5056F924}"/>
                </c:ext>
              </c:extLst>
            </c:dLbl>
            <c:dLbl>
              <c:idx val="3"/>
              <c:layout>
                <c:manualLayout>
                  <c:x val="-8.8299200710650606E-17"/>
                  <c:y val="-4.1547649961049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80-451E-8420-772B5056F924}"/>
                </c:ext>
              </c:extLst>
            </c:dLbl>
            <c:dLbl>
              <c:idx val="4"/>
              <c:layout>
                <c:manualLayout>
                  <c:x val="-2.6490066225165601E-2"/>
                  <c:y val="-5.1934562451311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80-451E-8420-772B5056F9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2015</c:v>
                </c:pt>
                <c:pt idx="1">
                  <c:v>2016</c:v>
                </c:pt>
                <c:pt idx="2">
                  <c:v>2017</c:v>
                </c:pt>
                <c:pt idx="3">
                  <c:v>2018</c:v>
                </c:pt>
                <c:pt idx="4">
                  <c:v>2019</c:v>
                </c:pt>
                <c:pt idx="5">
                  <c:v>2020</c:v>
                </c:pt>
              </c:numCache>
            </c:numRef>
          </c:cat>
          <c:val>
            <c:numRef>
              <c:f>Hoja1!$C$2:$C$7</c:f>
              <c:numCache>
                <c:formatCode>General</c:formatCode>
                <c:ptCount val="6"/>
                <c:pt idx="0">
                  <c:v>32.6</c:v>
                </c:pt>
                <c:pt idx="1">
                  <c:v>35</c:v>
                </c:pt>
                <c:pt idx="2">
                  <c:v>36.1</c:v>
                </c:pt>
                <c:pt idx="3">
                  <c:v>39.4</c:v>
                </c:pt>
                <c:pt idx="4">
                  <c:v>35.6</c:v>
                </c:pt>
                <c:pt idx="5">
                  <c:v>56.2</c:v>
                </c:pt>
              </c:numCache>
            </c:numRef>
          </c:val>
          <c:smooth val="0"/>
          <c:extLst>
            <c:ext xmlns:c16="http://schemas.microsoft.com/office/drawing/2014/chart" uri="{C3380CC4-5D6E-409C-BE32-E72D297353CC}">
              <c16:uniqueId val="{0000000A-E280-451E-8420-772B5056F924}"/>
            </c:ext>
          </c:extLst>
        </c:ser>
        <c:dLbls>
          <c:showLegendKey val="0"/>
          <c:showVal val="0"/>
          <c:showCatName val="0"/>
          <c:showSerName val="0"/>
          <c:showPercent val="0"/>
          <c:showBubbleSize val="0"/>
        </c:dLbls>
        <c:smooth val="0"/>
        <c:axId val="19317360"/>
        <c:axId val="35974768"/>
      </c:lineChart>
      <c:catAx>
        <c:axId val="1931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35974768"/>
        <c:crosses val="autoZero"/>
        <c:auto val="1"/>
        <c:lblAlgn val="ctr"/>
        <c:lblOffset val="100"/>
        <c:noMultiLvlLbl val="0"/>
      </c:catAx>
      <c:valAx>
        <c:axId val="35974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931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Incidencia del Cáncer en Hombres 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E3-409B-A856-BA7DC8DFF2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E3-409B-A856-BA7DC8DFF2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E3-409B-A856-BA7DC8DFF2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E3-409B-A856-BA7DC8DFF2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E3-409B-A856-BA7DC8DFF20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7E3-409B-A856-BA7DC8DFF20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7E3-409B-A856-BA7DC8DFF2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Otros</c:v>
                </c:pt>
                <c:pt idx="1">
                  <c:v>Próstata</c:v>
                </c:pt>
                <c:pt idx="2">
                  <c:v>Colorectal</c:v>
                </c:pt>
                <c:pt idx="3">
                  <c:v>Estómago</c:v>
                </c:pt>
                <c:pt idx="4">
                  <c:v>Linfoma No Hodgkin</c:v>
                </c:pt>
                <c:pt idx="5">
                  <c:v>Pulmón</c:v>
                </c:pt>
                <c:pt idx="6">
                  <c:v>Melanoma</c:v>
                </c:pt>
              </c:strCache>
            </c:strRef>
          </c:cat>
          <c:val>
            <c:numRef>
              <c:f>Hoja1!$B$2:$B$8</c:f>
              <c:numCache>
                <c:formatCode>General</c:formatCode>
                <c:ptCount val="7"/>
                <c:pt idx="0">
                  <c:v>49.63</c:v>
                </c:pt>
                <c:pt idx="1">
                  <c:v>22.44</c:v>
                </c:pt>
                <c:pt idx="2">
                  <c:v>8.85</c:v>
                </c:pt>
                <c:pt idx="3">
                  <c:v>8.26</c:v>
                </c:pt>
                <c:pt idx="4">
                  <c:v>4.6099999999999977</c:v>
                </c:pt>
                <c:pt idx="5">
                  <c:v>4.51</c:v>
                </c:pt>
                <c:pt idx="6">
                  <c:v>1.7</c:v>
                </c:pt>
              </c:numCache>
            </c:numRef>
          </c:val>
          <c:extLst>
            <c:ext xmlns:c16="http://schemas.microsoft.com/office/drawing/2014/chart" uri="{C3380CC4-5D6E-409C-BE32-E72D297353CC}">
              <c16:uniqueId val="{0000000E-57E3-409B-A856-BA7DC8DFF20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Incidencia del Cáncer en Mujeres 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D3-42DC-A629-E16D5F74A6AC}"/>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E7D3-42DC-A629-E16D5F74A6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D3-42DC-A629-E16D5F74A6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D3-42DC-A629-E16D5F74A6A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7D3-42DC-A629-E16D5F74A6A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7D3-42DC-A629-E16D5F74A6A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7D3-42DC-A629-E16D5F74A6A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7D3-42DC-A629-E16D5F74A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Otros</c:v>
                </c:pt>
                <c:pt idx="1">
                  <c:v>Mama</c:v>
                </c:pt>
                <c:pt idx="2">
                  <c:v>Cérvix</c:v>
                </c:pt>
                <c:pt idx="3">
                  <c:v>Colorectal</c:v>
                </c:pt>
                <c:pt idx="4">
                  <c:v>Estómago</c:v>
                </c:pt>
                <c:pt idx="5">
                  <c:v>Linfoma No Hodgkin</c:v>
                </c:pt>
                <c:pt idx="6">
                  <c:v>Pulmón</c:v>
                </c:pt>
                <c:pt idx="7">
                  <c:v>Melanoma</c:v>
                </c:pt>
              </c:strCache>
            </c:strRef>
          </c:cat>
          <c:val>
            <c:numRef>
              <c:f>Hoja1!$B$2:$B$9</c:f>
              <c:numCache>
                <c:formatCode>General</c:formatCode>
                <c:ptCount val="8"/>
                <c:pt idx="1">
                  <c:v>27.76</c:v>
                </c:pt>
                <c:pt idx="2">
                  <c:v>11.04</c:v>
                </c:pt>
                <c:pt idx="3">
                  <c:v>7.17</c:v>
                </c:pt>
                <c:pt idx="4">
                  <c:v>3.5</c:v>
                </c:pt>
                <c:pt idx="5">
                  <c:v>2.7</c:v>
                </c:pt>
                <c:pt idx="6">
                  <c:v>2.5299999999999998</c:v>
                </c:pt>
                <c:pt idx="7">
                  <c:v>1.57</c:v>
                </c:pt>
              </c:numCache>
            </c:numRef>
          </c:val>
          <c:extLst>
            <c:ext xmlns:c16="http://schemas.microsoft.com/office/drawing/2014/chart" uri="{C3380CC4-5D6E-409C-BE32-E72D297353CC}">
              <c16:uniqueId val="{00000010-E7D3-42DC-A629-E16D5F74A6A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C0D57-27FE-4AFE-9A2B-D4058723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5028</Words>
  <Characters>27654</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paula andrea Arenas Soto. UTL Jose Luis Correa Lopez</cp:lastModifiedBy>
  <cp:revision>10</cp:revision>
  <cp:lastPrinted>2020-10-29T18:17:00Z</cp:lastPrinted>
  <dcterms:created xsi:type="dcterms:W3CDTF">2021-08-17T17:19:00Z</dcterms:created>
  <dcterms:modified xsi:type="dcterms:W3CDTF">2021-08-17T17:24:00Z</dcterms:modified>
</cp:coreProperties>
</file>